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 начала приема заявок: </w:t>
      </w:r>
      <w:r w:rsidR="007D164F">
        <w:rPr>
          <w:b/>
          <w:sz w:val="24"/>
          <w:szCs w:val="24"/>
        </w:rPr>
        <w:t>10.04.2025</w:t>
      </w:r>
      <w:r w:rsidR="00D51797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>в</w:t>
      </w:r>
      <w:r w:rsidR="00085D76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 xml:space="preserve"> 08:00 по московскому времени </w:t>
      </w:r>
      <w:r w:rsidR="00892058" w:rsidRPr="00210591">
        <w:rPr>
          <w:b/>
          <w:sz w:val="24"/>
          <w:szCs w:val="24"/>
        </w:rPr>
        <w:br/>
      </w:r>
      <w:r w:rsidR="003D3F17" w:rsidRPr="00210591">
        <w:rPr>
          <w:b/>
          <w:sz w:val="24"/>
          <w:szCs w:val="24"/>
        </w:rPr>
        <w:t>(в 10:00 по местному времени)</w:t>
      </w:r>
      <w:r w:rsidR="00D51797" w:rsidRPr="00210591">
        <w:rPr>
          <w:sz w:val="24"/>
          <w:szCs w:val="24"/>
        </w:rPr>
        <w:t>.</w:t>
      </w:r>
    </w:p>
    <w:p w:rsidR="00D51797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 окончания приема заявок: </w:t>
      </w:r>
      <w:r w:rsidR="007D164F">
        <w:rPr>
          <w:b/>
          <w:sz w:val="24"/>
          <w:szCs w:val="24"/>
        </w:rPr>
        <w:t>23.05.2025</w:t>
      </w:r>
      <w:r w:rsidR="00CA3A77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 xml:space="preserve">до 21:59 по московскому времени </w:t>
      </w:r>
      <w:r w:rsidR="0035006D" w:rsidRPr="00210591">
        <w:rPr>
          <w:b/>
          <w:sz w:val="24"/>
          <w:szCs w:val="24"/>
        </w:rPr>
        <w:br/>
      </w:r>
      <w:r w:rsidR="003D3F17" w:rsidRPr="00210591">
        <w:rPr>
          <w:b/>
          <w:sz w:val="24"/>
          <w:szCs w:val="24"/>
        </w:rPr>
        <w:t>(до 23:59 по местному времени)</w:t>
      </w:r>
      <w:r w:rsidR="0076068C" w:rsidRPr="00210591">
        <w:rPr>
          <w:sz w:val="24"/>
          <w:szCs w:val="24"/>
        </w:rPr>
        <w:t>.</w:t>
      </w:r>
      <w:r w:rsidR="00376175" w:rsidRPr="00210591">
        <w:rPr>
          <w:sz w:val="24"/>
          <w:szCs w:val="24"/>
        </w:rPr>
        <w:t xml:space="preserve"> </w:t>
      </w:r>
      <w:r w:rsidR="00D51797" w:rsidRPr="00210591">
        <w:rPr>
          <w:sz w:val="24"/>
          <w:szCs w:val="24"/>
        </w:rPr>
        <w:t xml:space="preserve"> 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210591">
        <w:rPr>
          <w:b/>
          <w:sz w:val="24"/>
          <w:szCs w:val="24"/>
        </w:rPr>
        <w:t>на</w:t>
      </w:r>
      <w:proofErr w:type="gramEnd"/>
      <w:r w:rsidRPr="00210591">
        <w:rPr>
          <w:b/>
          <w:sz w:val="24"/>
          <w:szCs w:val="24"/>
        </w:rPr>
        <w:t xml:space="preserve">: </w:t>
      </w:r>
      <w:r w:rsidRPr="0021059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Место подачи (приема) заявок: </w:t>
      </w:r>
      <w:r w:rsidRPr="00210591">
        <w:rPr>
          <w:sz w:val="24"/>
          <w:szCs w:val="24"/>
        </w:rPr>
        <w:t>http://utp.sberbank-ast.ru/AP</w:t>
      </w:r>
    </w:p>
    <w:p w:rsidR="0072419E" w:rsidRPr="007D164F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Дата, время и место определения участников: </w:t>
      </w:r>
      <w:r w:rsidR="007D164F" w:rsidRPr="007D164F">
        <w:rPr>
          <w:b/>
          <w:sz w:val="24"/>
          <w:szCs w:val="24"/>
        </w:rPr>
        <w:t>29.05.2025</w:t>
      </w:r>
      <w:r w:rsidR="00D51797" w:rsidRPr="007D164F">
        <w:rPr>
          <w:b/>
          <w:sz w:val="24"/>
          <w:szCs w:val="24"/>
        </w:rPr>
        <w:t xml:space="preserve"> </w:t>
      </w:r>
      <w:r w:rsidR="00555029" w:rsidRPr="007D164F">
        <w:rPr>
          <w:b/>
          <w:sz w:val="24"/>
          <w:szCs w:val="24"/>
        </w:rPr>
        <w:t>в  08.00</w:t>
      </w:r>
      <w:r w:rsidR="00555029" w:rsidRPr="007D164F">
        <w:rPr>
          <w:sz w:val="24"/>
          <w:szCs w:val="24"/>
        </w:rPr>
        <w:t xml:space="preserve"> час</w:t>
      </w:r>
      <w:proofErr w:type="gramStart"/>
      <w:r w:rsidR="00555029" w:rsidRPr="007D164F">
        <w:rPr>
          <w:sz w:val="24"/>
          <w:szCs w:val="24"/>
        </w:rPr>
        <w:t>.</w:t>
      </w:r>
      <w:proofErr w:type="gramEnd"/>
      <w:r w:rsidR="00555029" w:rsidRPr="007D164F">
        <w:rPr>
          <w:sz w:val="24"/>
          <w:szCs w:val="24"/>
        </w:rPr>
        <w:t xml:space="preserve"> </w:t>
      </w:r>
      <w:proofErr w:type="gramStart"/>
      <w:r w:rsidR="00555029" w:rsidRPr="007D164F">
        <w:rPr>
          <w:b/>
          <w:sz w:val="24"/>
          <w:szCs w:val="24"/>
        </w:rPr>
        <w:t>п</w:t>
      </w:r>
      <w:proofErr w:type="gramEnd"/>
      <w:r w:rsidR="00555029" w:rsidRPr="007D164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7D164F">
        <w:rPr>
          <w:sz w:val="24"/>
          <w:szCs w:val="24"/>
        </w:rPr>
        <w:t>час. по адресу: г.</w:t>
      </w:r>
      <w:r w:rsidR="001069FC" w:rsidRPr="007D164F">
        <w:rPr>
          <w:sz w:val="24"/>
          <w:szCs w:val="24"/>
        </w:rPr>
        <w:t> </w:t>
      </w:r>
      <w:r w:rsidRPr="007D164F">
        <w:rPr>
          <w:sz w:val="24"/>
          <w:szCs w:val="24"/>
        </w:rPr>
        <w:t>Челябинск,  ул.</w:t>
      </w:r>
      <w:r w:rsidR="0035006D" w:rsidRPr="007D164F">
        <w:rPr>
          <w:sz w:val="24"/>
          <w:szCs w:val="24"/>
        </w:rPr>
        <w:t> </w:t>
      </w:r>
      <w:r w:rsidRPr="007D164F">
        <w:rPr>
          <w:sz w:val="24"/>
          <w:szCs w:val="24"/>
        </w:rPr>
        <w:t xml:space="preserve">Тимирязева, 36, </w:t>
      </w:r>
      <w:proofErr w:type="spellStart"/>
      <w:r w:rsidRPr="007D164F">
        <w:rPr>
          <w:sz w:val="24"/>
          <w:szCs w:val="24"/>
        </w:rPr>
        <w:t>каб</w:t>
      </w:r>
      <w:proofErr w:type="spellEnd"/>
      <w:r w:rsidRPr="007D164F">
        <w:rPr>
          <w:sz w:val="24"/>
          <w:szCs w:val="24"/>
        </w:rPr>
        <w:t xml:space="preserve">. </w:t>
      </w:r>
      <w:r w:rsidR="00A1294A" w:rsidRPr="007D164F">
        <w:rPr>
          <w:sz w:val="24"/>
          <w:szCs w:val="24"/>
        </w:rPr>
        <w:t>20</w:t>
      </w:r>
      <w:r w:rsidRPr="007D164F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D164F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7D164F">
        <w:rPr>
          <w:b/>
          <w:sz w:val="24"/>
          <w:szCs w:val="24"/>
        </w:rPr>
        <w:t>:</w:t>
      </w:r>
      <w:r w:rsidR="003E3EE3" w:rsidRPr="007D164F">
        <w:rPr>
          <w:b/>
          <w:sz w:val="24"/>
          <w:szCs w:val="24"/>
        </w:rPr>
        <w:t xml:space="preserve"> </w:t>
      </w:r>
      <w:r w:rsidR="00B9781D" w:rsidRPr="007D164F">
        <w:rPr>
          <w:sz w:val="24"/>
          <w:szCs w:val="24"/>
        </w:rPr>
        <w:t>(время начала приема предложений о цене предмета</w:t>
      </w:r>
      <w:r w:rsidR="0035006D" w:rsidRPr="007D164F">
        <w:rPr>
          <w:sz w:val="24"/>
          <w:szCs w:val="24"/>
        </w:rPr>
        <w:t xml:space="preserve"> продажи</w:t>
      </w:r>
      <w:r w:rsidR="00B9781D" w:rsidRPr="007D164F">
        <w:rPr>
          <w:sz w:val="24"/>
          <w:szCs w:val="24"/>
        </w:rPr>
        <w:t xml:space="preserve">): </w:t>
      </w:r>
      <w:r w:rsidR="007D164F" w:rsidRPr="007D164F">
        <w:rPr>
          <w:rFonts w:eastAsiaTheme="minorHAnsi"/>
          <w:b/>
          <w:bCs/>
          <w:sz w:val="24"/>
          <w:szCs w:val="24"/>
          <w:lang w:eastAsia="en-US"/>
        </w:rPr>
        <w:t>30.05.2025</w:t>
      </w:r>
      <w:r w:rsidR="00B9781D" w:rsidRPr="007D164F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7D164F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7D24BD" w:rsidRPr="00652198" w:rsidRDefault="007D24BD" w:rsidP="007D24B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D41F7C" w:rsidRPr="00652198" w:rsidRDefault="00D41F7C" w:rsidP="00D41F7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C7DC4">
        <w:rPr>
          <w:sz w:val="24"/>
          <w:szCs w:val="24"/>
        </w:rPr>
        <w:t xml:space="preserve"> годы</w:t>
      </w:r>
      <w:r w:rsidRPr="00652198">
        <w:rPr>
          <w:sz w:val="24"/>
          <w:szCs w:val="24"/>
        </w:rPr>
        <w:t xml:space="preserve">», распоряжение заместителя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 w:rsidR="004735A5">
        <w:rPr>
          <w:color w:val="000000"/>
          <w:sz w:val="24"/>
          <w:szCs w:val="24"/>
        </w:rPr>
        <w:t>31.03.2025</w:t>
      </w:r>
      <w:r w:rsidRPr="009613AD">
        <w:rPr>
          <w:color w:val="000000"/>
          <w:sz w:val="24"/>
          <w:szCs w:val="24"/>
        </w:rPr>
        <w:t xml:space="preserve"> № </w:t>
      </w:r>
      <w:r w:rsidR="004735A5">
        <w:rPr>
          <w:color w:val="000000"/>
          <w:sz w:val="24"/>
          <w:szCs w:val="24"/>
        </w:rPr>
        <w:t>3883-е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</w:t>
      </w:r>
      <w:r w:rsidR="004735A5">
        <w:rPr>
          <w:sz w:val="24"/>
          <w:szCs w:val="24"/>
        </w:rPr>
        <w:t xml:space="preserve"> </w:t>
      </w:r>
      <w:proofErr w:type="gramEnd"/>
    </w:p>
    <w:p w:rsidR="00D41F7C" w:rsidRPr="00652198" w:rsidRDefault="00D41F7C" w:rsidP="00D41F7C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D41F7C" w:rsidRPr="00A67901" w:rsidRDefault="00D41F7C" w:rsidP="00D41F7C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</w:t>
      </w:r>
      <w:r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кв.м. </w:t>
      </w:r>
    </w:p>
    <w:p w:rsidR="00D41F7C" w:rsidRPr="00A67901" w:rsidRDefault="00D41F7C" w:rsidP="00D41F7C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пр. Победы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300</w:t>
      </w:r>
      <w:r w:rsidRPr="00A67901">
        <w:rPr>
          <w:sz w:val="24"/>
          <w:szCs w:val="24"/>
        </w:rPr>
        <w:t>.</w:t>
      </w:r>
    </w:p>
    <w:p w:rsidR="00D41F7C" w:rsidRPr="00A67901" w:rsidRDefault="00D41F7C" w:rsidP="00D41F7C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D41F7C" w:rsidRPr="00A67901" w:rsidRDefault="00D41F7C" w:rsidP="00D41F7C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0710002</w:t>
      </w:r>
      <w:r w:rsidRPr="00A67901">
        <w:rPr>
          <w:sz w:val="24"/>
          <w:szCs w:val="24"/>
        </w:rPr>
        <w:t>:2</w:t>
      </w:r>
      <w:r>
        <w:rPr>
          <w:sz w:val="24"/>
          <w:szCs w:val="24"/>
        </w:rPr>
        <w:t>05</w:t>
      </w:r>
      <w:r w:rsidRPr="00A67901">
        <w:rPr>
          <w:sz w:val="24"/>
          <w:szCs w:val="24"/>
        </w:rPr>
        <w:t>.</w:t>
      </w:r>
    </w:p>
    <w:p w:rsidR="00D41F7C" w:rsidRPr="00A67901" w:rsidRDefault="00D41F7C" w:rsidP="00D41F7C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 м.</w:t>
      </w:r>
    </w:p>
    <w:p w:rsidR="00D41F7C" w:rsidRPr="00A4590B" w:rsidRDefault="00D41F7C" w:rsidP="00D41F7C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D41F7C" w:rsidRPr="00536C52" w:rsidRDefault="00D41F7C" w:rsidP="00D41F7C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04.10.2024 </w:t>
      </w:r>
      <w:r w:rsidRPr="00A4590B">
        <w:rPr>
          <w:sz w:val="24"/>
          <w:szCs w:val="24"/>
        </w:rPr>
        <w:br/>
      </w:r>
      <w:r w:rsidRPr="00536C52">
        <w:rPr>
          <w:sz w:val="24"/>
          <w:szCs w:val="24"/>
        </w:rPr>
        <w:t>№ 1855/2024 тип отделки – без отделки.</w:t>
      </w:r>
    </w:p>
    <w:p w:rsidR="00D41F7C" w:rsidRPr="00536C52" w:rsidRDefault="00D41F7C" w:rsidP="00D41F7C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D41F7C" w:rsidRPr="00536C52" w:rsidRDefault="00D41F7C" w:rsidP="00D41F7C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D41F7C" w:rsidRPr="00536C52" w:rsidRDefault="00D41F7C" w:rsidP="00D41F7C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D41F7C" w:rsidRPr="00536C52" w:rsidRDefault="00D41F7C" w:rsidP="00D41F7C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окрашены, пол бетонный.</w:t>
      </w:r>
    </w:p>
    <w:p w:rsidR="00D41F7C" w:rsidRPr="00A67901" w:rsidRDefault="00D41F7C" w:rsidP="00D41F7C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D41F7C" w:rsidRPr="009D31CA" w:rsidRDefault="00D41F7C" w:rsidP="00D41F7C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>14.07.2016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74-74/036-74/001/102/2016-2444/1</w:t>
      </w:r>
      <w:r w:rsidRPr="009D31CA">
        <w:rPr>
          <w:sz w:val="24"/>
          <w:szCs w:val="24"/>
        </w:rPr>
        <w:t>.</w:t>
      </w:r>
    </w:p>
    <w:p w:rsidR="00D41F7C" w:rsidRPr="009D31CA" w:rsidRDefault="00D41F7C" w:rsidP="00D41F7C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lastRenderedPageBreak/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D41F7C" w:rsidRPr="009D31CA" w:rsidRDefault="00D41F7C" w:rsidP="00D41F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rFonts w:eastAsiaTheme="minorHAnsi"/>
          <w:bCs/>
          <w:sz w:val="24"/>
          <w:szCs w:val="24"/>
          <w:lang w:eastAsia="en-US"/>
        </w:rPr>
        <w:t>24.01.2025</w:t>
      </w:r>
      <w:r w:rsidR="004735A5">
        <w:rPr>
          <w:rFonts w:eastAsiaTheme="minorHAnsi"/>
          <w:bCs/>
          <w:sz w:val="24"/>
          <w:szCs w:val="24"/>
          <w:lang w:eastAsia="en-US"/>
        </w:rPr>
        <w:t>, 14.03.2025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D41F7C" w:rsidRPr="009D31CA" w:rsidRDefault="00D41F7C" w:rsidP="00D41F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5 159 000</w:t>
      </w:r>
      <w:r w:rsidRPr="009D31CA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859 833,33 </w:t>
      </w:r>
      <w:r w:rsidRPr="009D31CA">
        <w:rPr>
          <w:sz w:val="24"/>
          <w:szCs w:val="24"/>
        </w:rPr>
        <w:t>рублей;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 w:rsidR="004735A5">
        <w:rPr>
          <w:sz w:val="24"/>
          <w:szCs w:val="24"/>
        </w:rPr>
        <w:t>2 579 500,00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 w:rsidR="004735A5">
        <w:rPr>
          <w:sz w:val="24"/>
          <w:szCs w:val="24"/>
        </w:rPr>
        <w:t>515 900</w:t>
      </w:r>
      <w:r w:rsidR="004F6E57">
        <w:rPr>
          <w:sz w:val="24"/>
          <w:szCs w:val="24"/>
        </w:rPr>
        <w:t>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 w:rsidR="004735A5">
        <w:rPr>
          <w:sz w:val="24"/>
          <w:szCs w:val="24"/>
        </w:rPr>
        <w:t>257 950</w:t>
      </w:r>
      <w:r w:rsidR="004F6E57">
        <w:rPr>
          <w:sz w:val="24"/>
          <w:szCs w:val="24"/>
        </w:rPr>
        <w:t>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 w:rsidR="004735A5">
        <w:rPr>
          <w:sz w:val="24"/>
          <w:szCs w:val="24"/>
        </w:rPr>
        <w:t>515 900</w:t>
      </w:r>
      <w:r w:rsidR="004F6E57">
        <w:rPr>
          <w:sz w:val="24"/>
          <w:szCs w:val="24"/>
        </w:rPr>
        <w:t>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24BD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4735A5" w:rsidRDefault="004735A5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35A5" w:rsidRPr="00652198" w:rsidRDefault="004735A5" w:rsidP="004735A5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2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4735A5" w:rsidRPr="00652198" w:rsidRDefault="004735A5" w:rsidP="004735A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C7DC4">
        <w:rPr>
          <w:sz w:val="24"/>
          <w:szCs w:val="24"/>
        </w:rPr>
        <w:t>годы», распоряжение заместителя Главы города Челябинска по</w:t>
      </w:r>
      <w:r w:rsidRPr="00652198">
        <w:rPr>
          <w:sz w:val="24"/>
          <w:szCs w:val="24"/>
        </w:rPr>
        <w:t xml:space="preserve"> правовым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31.03.2025</w:t>
      </w:r>
      <w:r w:rsidRPr="009613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3889-е</w:t>
      </w:r>
      <w:r w:rsidRPr="00102763">
        <w:rPr>
          <w:sz w:val="24"/>
          <w:szCs w:val="24"/>
        </w:rPr>
        <w:t xml:space="preserve">  «Об условиях</w:t>
      </w:r>
      <w:r>
        <w:rPr>
          <w:sz w:val="24"/>
          <w:szCs w:val="24"/>
        </w:rPr>
        <w:t xml:space="preserve"> приватизации </w:t>
      </w:r>
      <w:r w:rsidRPr="00652198">
        <w:rPr>
          <w:sz w:val="24"/>
          <w:szCs w:val="24"/>
        </w:rPr>
        <w:t xml:space="preserve">муниципального имущества» </w:t>
      </w:r>
      <w:proofErr w:type="gramEnd"/>
    </w:p>
    <w:p w:rsidR="004735A5" w:rsidRPr="00652198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20</w:t>
      </w:r>
      <w:r w:rsidRPr="00A67901">
        <w:rPr>
          <w:sz w:val="24"/>
          <w:szCs w:val="24"/>
        </w:rPr>
        <w:t xml:space="preserve"> общей площадью   </w:t>
      </w:r>
      <w:r>
        <w:rPr>
          <w:sz w:val="24"/>
          <w:szCs w:val="24"/>
        </w:rPr>
        <w:t>83,7</w:t>
      </w:r>
      <w:r w:rsidRPr="00A67901">
        <w:rPr>
          <w:sz w:val="24"/>
          <w:szCs w:val="24"/>
        </w:rPr>
        <w:t xml:space="preserve"> кв.м. 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Сталеваров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78</w:t>
      </w:r>
      <w:r w:rsidRPr="00A67901">
        <w:rPr>
          <w:sz w:val="24"/>
          <w:szCs w:val="24"/>
        </w:rPr>
        <w:t>.</w:t>
      </w:r>
    </w:p>
    <w:p w:rsidR="004735A5" w:rsidRPr="00A67901" w:rsidRDefault="004735A5" w:rsidP="004735A5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4735A5" w:rsidRPr="00A67901" w:rsidRDefault="004735A5" w:rsidP="004735A5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0119015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1703</w:t>
      </w:r>
      <w:r w:rsidRPr="00A67901">
        <w:rPr>
          <w:sz w:val="24"/>
          <w:szCs w:val="24"/>
        </w:rPr>
        <w:t>.</w:t>
      </w:r>
    </w:p>
    <w:p w:rsidR="004735A5" w:rsidRPr="00A67901" w:rsidRDefault="004735A5" w:rsidP="004735A5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83,7 </w:t>
      </w:r>
      <w:r w:rsidRPr="00A67901">
        <w:rPr>
          <w:sz w:val="24"/>
          <w:szCs w:val="24"/>
        </w:rPr>
        <w:t xml:space="preserve"> кв. м.</w:t>
      </w:r>
    </w:p>
    <w:p w:rsidR="004735A5" w:rsidRPr="00A4590B" w:rsidRDefault="004735A5" w:rsidP="004735A5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цоколь.</w:t>
      </w:r>
    </w:p>
    <w:p w:rsidR="004735A5" w:rsidRDefault="004735A5" w:rsidP="004735A5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04.10.2024 </w:t>
      </w:r>
      <w:r w:rsidRPr="00A4590B">
        <w:rPr>
          <w:sz w:val="24"/>
          <w:szCs w:val="24"/>
        </w:rPr>
        <w:br/>
        <w:t>№ 1856/2024</w:t>
      </w:r>
      <w:r w:rsidRPr="00536C52">
        <w:rPr>
          <w:sz w:val="24"/>
          <w:szCs w:val="24"/>
        </w:rPr>
        <w:t xml:space="preserve"> тип отделки – без отделки.</w:t>
      </w:r>
    </w:p>
    <w:p w:rsidR="004735A5" w:rsidRPr="00720678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720678">
        <w:rPr>
          <w:sz w:val="24"/>
          <w:szCs w:val="24"/>
        </w:rPr>
        <w:br/>
        <w:t>и электроснабжения.</w:t>
      </w:r>
    </w:p>
    <w:p w:rsidR="004735A5" w:rsidRPr="00720678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Вход в помещение отдельный.</w:t>
      </w:r>
    </w:p>
    <w:p w:rsidR="004735A5" w:rsidRPr="00720678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4735A5" w:rsidRPr="00720678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состоит из нескольких смежных комнат, железная дверь, стены окрашены, частично оклеены, пол бетонный.</w:t>
      </w:r>
    </w:p>
    <w:p w:rsidR="004735A5" w:rsidRPr="00720678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Состояние удовлетворительное.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4735A5" w:rsidRPr="009D31CA" w:rsidRDefault="004735A5" w:rsidP="004735A5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>15.02.2024 № 74:36:0119015:1703-74/108/2024-1</w:t>
      </w:r>
      <w:r w:rsidRPr="009D31CA">
        <w:rPr>
          <w:sz w:val="24"/>
          <w:szCs w:val="24"/>
        </w:rPr>
        <w:t>.</w:t>
      </w:r>
    </w:p>
    <w:p w:rsidR="004735A5" w:rsidRPr="009D31CA" w:rsidRDefault="004735A5" w:rsidP="004735A5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4735A5" w:rsidRPr="009D31CA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rFonts w:eastAsiaTheme="minorHAnsi"/>
          <w:bCs/>
          <w:sz w:val="24"/>
          <w:szCs w:val="24"/>
          <w:lang w:eastAsia="en-US"/>
        </w:rPr>
        <w:t>24.01.2025, 14.03.2025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4735A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2 455 000</w:t>
      </w:r>
      <w:r w:rsidRPr="009D31CA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409 166,67 </w:t>
      </w:r>
      <w:r w:rsidRPr="009D31CA">
        <w:rPr>
          <w:sz w:val="24"/>
          <w:szCs w:val="24"/>
        </w:rPr>
        <w:t>рублей;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lastRenderedPageBreak/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1 227 500,00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245 500,00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122 750,00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245 500,00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4735A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4735A5" w:rsidRPr="009D31CA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35A5" w:rsidRPr="00652198" w:rsidRDefault="004735A5" w:rsidP="004735A5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3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4735A5" w:rsidRPr="004735A5" w:rsidRDefault="004735A5" w:rsidP="004735A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приватизации такого имущества, реквизиты указанного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>
        <w:rPr>
          <w:sz w:val="24"/>
          <w:szCs w:val="24"/>
        </w:rPr>
        <w:t>щества города Челябинска на 2025-2027</w:t>
      </w:r>
      <w:r w:rsidRPr="00BC7DC4">
        <w:rPr>
          <w:sz w:val="24"/>
          <w:szCs w:val="24"/>
        </w:rPr>
        <w:t xml:space="preserve"> годы», распоряжение заместителя Главы города Челябинска</w:t>
      </w:r>
      <w:r w:rsidRPr="00652198">
        <w:rPr>
          <w:sz w:val="24"/>
          <w:szCs w:val="24"/>
        </w:rPr>
        <w:t xml:space="preserve">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31.03.2025</w:t>
      </w:r>
      <w:r w:rsidRPr="009613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3887-е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4735A5" w:rsidRPr="00652198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61,7</w:t>
      </w:r>
      <w:r w:rsidRPr="00A67901">
        <w:rPr>
          <w:sz w:val="24"/>
          <w:szCs w:val="24"/>
        </w:rPr>
        <w:t xml:space="preserve"> кв.м. 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Грибоедова</w:t>
      </w:r>
      <w:proofErr w:type="spellEnd"/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4735A5" w:rsidRPr="00A67901" w:rsidRDefault="004735A5" w:rsidP="004735A5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4735A5" w:rsidRPr="00A67901" w:rsidRDefault="004735A5" w:rsidP="004735A5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0201013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85</w:t>
      </w:r>
      <w:r w:rsidRPr="00A67901">
        <w:rPr>
          <w:sz w:val="24"/>
          <w:szCs w:val="24"/>
        </w:rPr>
        <w:t>.</w:t>
      </w:r>
    </w:p>
    <w:p w:rsidR="004735A5" w:rsidRPr="00A67901" w:rsidRDefault="004735A5" w:rsidP="004735A5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61,7 </w:t>
      </w:r>
      <w:r w:rsidRPr="00A67901">
        <w:rPr>
          <w:sz w:val="24"/>
          <w:szCs w:val="24"/>
        </w:rPr>
        <w:t xml:space="preserve"> кв. м.</w:t>
      </w:r>
    </w:p>
    <w:p w:rsidR="004735A5" w:rsidRPr="004D2C82" w:rsidRDefault="004735A5" w:rsidP="004735A5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t xml:space="preserve">Назначение – </w:t>
      </w:r>
      <w:r w:rsidRPr="00A4590B">
        <w:rPr>
          <w:sz w:val="24"/>
          <w:szCs w:val="24"/>
        </w:rPr>
        <w:t>нежилое, цоколь.</w:t>
      </w:r>
    </w:p>
    <w:p w:rsidR="004735A5" w:rsidRDefault="004735A5" w:rsidP="004735A5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>от  04.10.202</w:t>
      </w:r>
      <w:r>
        <w:rPr>
          <w:sz w:val="24"/>
          <w:szCs w:val="24"/>
        </w:rPr>
        <w:t>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>№ 1856/2024</w:t>
      </w:r>
      <w:r w:rsidRPr="00536C52">
        <w:rPr>
          <w:sz w:val="24"/>
          <w:szCs w:val="24"/>
        </w:rPr>
        <w:t xml:space="preserve"> тип отделки – стандарт.</w:t>
      </w:r>
    </w:p>
    <w:p w:rsidR="004735A5" w:rsidRPr="00536C52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4735A5" w:rsidRPr="00536C52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4735A5" w:rsidRPr="00536C52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4735A5" w:rsidRPr="00536C52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оклеены, пол бетонный, частично линолеум.</w:t>
      </w:r>
    </w:p>
    <w:p w:rsidR="004735A5" w:rsidRPr="00536C52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4735A5" w:rsidRPr="009D31CA" w:rsidRDefault="004735A5" w:rsidP="004735A5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22.11.2012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74-74-01/595/2012-241</w:t>
      </w:r>
      <w:r w:rsidRPr="009D31CA">
        <w:rPr>
          <w:sz w:val="24"/>
          <w:szCs w:val="24"/>
        </w:rPr>
        <w:t>.</w:t>
      </w:r>
    </w:p>
    <w:p w:rsidR="004735A5" w:rsidRPr="009D31CA" w:rsidRDefault="004735A5" w:rsidP="004735A5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4735A5" w:rsidRPr="009D31CA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rFonts w:eastAsiaTheme="minorHAnsi"/>
          <w:bCs/>
          <w:sz w:val="24"/>
          <w:szCs w:val="24"/>
          <w:lang w:eastAsia="en-US"/>
        </w:rPr>
        <w:t>24.01.2025, 14.03.2025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4735A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1 900 000</w:t>
      </w:r>
      <w:r w:rsidRPr="009D31CA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316 666,67 </w:t>
      </w:r>
      <w:r w:rsidRPr="009D31CA">
        <w:rPr>
          <w:sz w:val="24"/>
          <w:szCs w:val="24"/>
        </w:rPr>
        <w:t>рублей;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950 000,00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190 000,00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95 000,00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 w:rsidR="00377B01">
        <w:rPr>
          <w:sz w:val="24"/>
          <w:szCs w:val="24"/>
        </w:rPr>
        <w:t>190</w:t>
      </w:r>
      <w:r>
        <w:rPr>
          <w:sz w:val="24"/>
          <w:szCs w:val="24"/>
        </w:rPr>
        <w:t xml:space="preserve"> 000,00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4735A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4735A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35A5" w:rsidRPr="009D31CA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35A5" w:rsidRPr="00652198" w:rsidRDefault="004735A5" w:rsidP="004735A5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Лот № 4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4735A5" w:rsidRPr="00652198" w:rsidRDefault="004735A5" w:rsidP="004735A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5-2027</w:t>
      </w:r>
      <w:r w:rsidRPr="00BC7DC4">
        <w:rPr>
          <w:sz w:val="24"/>
          <w:szCs w:val="24"/>
        </w:rPr>
        <w:t xml:space="preserve"> годы», распоряжение заместителя</w:t>
      </w:r>
      <w:r w:rsidRPr="00652198">
        <w:rPr>
          <w:sz w:val="24"/>
          <w:szCs w:val="24"/>
        </w:rPr>
        <w:t xml:space="preserve">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31.03.2025</w:t>
      </w:r>
      <w:r w:rsidRPr="009613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3886-е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4735A5" w:rsidRPr="00652198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</w:t>
      </w:r>
      <w:r>
        <w:rPr>
          <w:sz w:val="24"/>
          <w:szCs w:val="24"/>
        </w:rPr>
        <w:t>166,2</w:t>
      </w:r>
      <w:r w:rsidRPr="00A67901">
        <w:rPr>
          <w:sz w:val="24"/>
          <w:szCs w:val="24"/>
        </w:rPr>
        <w:t xml:space="preserve"> кв.м. 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Мира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30</w:t>
      </w:r>
      <w:r w:rsidRPr="00A67901">
        <w:rPr>
          <w:sz w:val="24"/>
          <w:szCs w:val="24"/>
        </w:rPr>
        <w:t>.</w:t>
      </w:r>
    </w:p>
    <w:p w:rsidR="004735A5" w:rsidRPr="00A67901" w:rsidRDefault="004735A5" w:rsidP="004735A5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4735A5" w:rsidRPr="00A67901" w:rsidRDefault="004735A5" w:rsidP="004735A5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0114009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113</w:t>
      </w:r>
      <w:r w:rsidRPr="00A67901">
        <w:rPr>
          <w:sz w:val="24"/>
          <w:szCs w:val="24"/>
        </w:rPr>
        <w:t>.</w:t>
      </w:r>
    </w:p>
    <w:p w:rsidR="004735A5" w:rsidRPr="00A67901" w:rsidRDefault="004735A5" w:rsidP="004735A5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166,2 </w:t>
      </w:r>
      <w:r w:rsidRPr="00A67901">
        <w:rPr>
          <w:sz w:val="24"/>
          <w:szCs w:val="24"/>
        </w:rPr>
        <w:t xml:space="preserve"> кв. м.</w:t>
      </w:r>
    </w:p>
    <w:p w:rsidR="004735A5" w:rsidRPr="00A4590B" w:rsidRDefault="004735A5" w:rsidP="004735A5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4735A5" w:rsidRDefault="004735A5" w:rsidP="004735A5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04.10.2024 </w:t>
      </w:r>
      <w:r w:rsidRPr="00A4590B">
        <w:rPr>
          <w:sz w:val="24"/>
          <w:szCs w:val="24"/>
        </w:rPr>
        <w:br/>
        <w:t xml:space="preserve">№ </w:t>
      </w:r>
      <w:r w:rsidRPr="00536C52">
        <w:rPr>
          <w:sz w:val="24"/>
          <w:szCs w:val="24"/>
        </w:rPr>
        <w:t>1858/2024 тип отделки – стандарт.</w:t>
      </w:r>
    </w:p>
    <w:p w:rsidR="004735A5" w:rsidRPr="00C85563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4735A5" w:rsidRPr="00C85563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4735A5" w:rsidRPr="00C85563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4735A5" w:rsidRPr="00C85563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4735A5" w:rsidRPr="00C85563" w:rsidRDefault="004735A5" w:rsidP="004735A5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4735A5" w:rsidRPr="00A67901" w:rsidRDefault="004735A5" w:rsidP="004735A5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4735A5" w:rsidRPr="009D31CA" w:rsidRDefault="004735A5" w:rsidP="004735A5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05.12.2007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74-74-01/585/2007-222</w:t>
      </w:r>
      <w:r w:rsidRPr="009D31CA">
        <w:rPr>
          <w:sz w:val="24"/>
          <w:szCs w:val="24"/>
        </w:rPr>
        <w:t>.</w:t>
      </w:r>
    </w:p>
    <w:p w:rsidR="004735A5" w:rsidRPr="009D31CA" w:rsidRDefault="004735A5" w:rsidP="004735A5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4735A5" w:rsidRPr="009D31CA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rFonts w:eastAsiaTheme="minorHAnsi"/>
          <w:bCs/>
          <w:sz w:val="24"/>
          <w:szCs w:val="24"/>
          <w:lang w:eastAsia="en-US"/>
        </w:rPr>
        <w:t>24.01.2025</w:t>
      </w:r>
      <w:r w:rsidR="007D164F">
        <w:rPr>
          <w:rFonts w:eastAsiaTheme="minorHAnsi"/>
          <w:bCs/>
          <w:sz w:val="24"/>
          <w:szCs w:val="24"/>
          <w:lang w:eastAsia="en-US"/>
        </w:rPr>
        <w:t>, 14.03.2025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4735A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5 375 000,00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895 833,33 </w:t>
      </w:r>
      <w:r w:rsidRPr="009D31CA">
        <w:rPr>
          <w:sz w:val="24"/>
          <w:szCs w:val="24"/>
        </w:rPr>
        <w:t>рублей;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2 687 500,00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537 500,00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268 750,00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537 500,00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D164F" w:rsidRPr="009D31CA" w:rsidRDefault="007D164F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164F" w:rsidRPr="00652198" w:rsidRDefault="007D164F" w:rsidP="007D164F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5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D164F" w:rsidRPr="00652198" w:rsidRDefault="007D164F" w:rsidP="007D164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C7DC4">
        <w:rPr>
          <w:sz w:val="24"/>
          <w:szCs w:val="24"/>
        </w:rPr>
        <w:t xml:space="preserve"> годы», распоряжение</w:t>
      </w:r>
      <w:r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31.01.2025</w:t>
      </w:r>
      <w:r w:rsidRPr="009613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3885-е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D164F" w:rsidRPr="00652198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lastRenderedPageBreak/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9</w:t>
      </w:r>
      <w:r w:rsidRPr="00A67901">
        <w:rPr>
          <w:sz w:val="24"/>
          <w:szCs w:val="24"/>
        </w:rPr>
        <w:t xml:space="preserve"> общей площадью  </w:t>
      </w:r>
      <w:r>
        <w:rPr>
          <w:sz w:val="24"/>
          <w:szCs w:val="24"/>
        </w:rPr>
        <w:t>58,2</w:t>
      </w:r>
      <w:r w:rsidRPr="00A67901">
        <w:rPr>
          <w:sz w:val="24"/>
          <w:szCs w:val="24"/>
        </w:rPr>
        <w:t xml:space="preserve"> кв.м. 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пр. Ленина,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24</w:t>
      </w:r>
      <w:r w:rsidRPr="00A67901">
        <w:rPr>
          <w:sz w:val="24"/>
          <w:szCs w:val="24"/>
        </w:rPr>
        <w:t>.</w:t>
      </w:r>
    </w:p>
    <w:p w:rsidR="007D164F" w:rsidRPr="00A67901" w:rsidRDefault="007D164F" w:rsidP="007D164F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D164F" w:rsidRPr="00A67901" w:rsidRDefault="007D164F" w:rsidP="007D164F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0502022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180</w:t>
      </w:r>
      <w:r w:rsidRPr="00A67901">
        <w:rPr>
          <w:sz w:val="24"/>
          <w:szCs w:val="24"/>
        </w:rPr>
        <w:t>.</w:t>
      </w:r>
    </w:p>
    <w:p w:rsidR="007D164F" w:rsidRPr="00A67901" w:rsidRDefault="007D164F" w:rsidP="007D164F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58,2 </w:t>
      </w:r>
      <w:r w:rsidRPr="00A67901">
        <w:rPr>
          <w:sz w:val="24"/>
          <w:szCs w:val="24"/>
        </w:rPr>
        <w:t xml:space="preserve"> кв. м.</w:t>
      </w:r>
    </w:p>
    <w:p w:rsidR="007D164F" w:rsidRPr="004D2C82" w:rsidRDefault="007D164F" w:rsidP="007D164F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t xml:space="preserve">Назначение </w:t>
      </w:r>
      <w:r w:rsidRPr="00A4590B">
        <w:rPr>
          <w:sz w:val="24"/>
          <w:szCs w:val="24"/>
        </w:rPr>
        <w:t>– нежилое, подвал.</w:t>
      </w:r>
    </w:p>
    <w:p w:rsidR="007D164F" w:rsidRDefault="007D164F" w:rsidP="007D164F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04.10.2024 </w:t>
      </w:r>
      <w:r w:rsidRPr="00A4590B">
        <w:rPr>
          <w:sz w:val="24"/>
          <w:szCs w:val="24"/>
        </w:rPr>
        <w:br/>
        <w:t>№ 1859/2024</w:t>
      </w:r>
      <w:r w:rsidRPr="00536C52">
        <w:rPr>
          <w:sz w:val="24"/>
          <w:szCs w:val="24"/>
        </w:rPr>
        <w:t xml:space="preserve"> тип отделки – стандарт.</w:t>
      </w:r>
    </w:p>
    <w:p w:rsidR="007D164F" w:rsidRPr="00536C52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7D164F" w:rsidRPr="00536C52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7D164F" w:rsidRPr="00536C52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7D164F" w:rsidRPr="00536C52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окрашены, пол бетонный.</w:t>
      </w:r>
    </w:p>
    <w:p w:rsidR="007D164F" w:rsidRPr="00536C52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D164F" w:rsidRPr="009D31CA" w:rsidRDefault="007D164F" w:rsidP="007D164F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08.10.2012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74-74-01/396/2012-22</w:t>
      </w:r>
      <w:r w:rsidRPr="009D31CA">
        <w:rPr>
          <w:sz w:val="24"/>
          <w:szCs w:val="24"/>
        </w:rPr>
        <w:t>.</w:t>
      </w:r>
    </w:p>
    <w:p w:rsidR="007D164F" w:rsidRPr="009D31CA" w:rsidRDefault="007D164F" w:rsidP="007D164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D164F" w:rsidRPr="009D31CA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rFonts w:eastAsiaTheme="minorHAnsi"/>
          <w:bCs/>
          <w:sz w:val="24"/>
          <w:szCs w:val="24"/>
          <w:lang w:eastAsia="en-US"/>
        </w:rPr>
        <w:t>24.01.2025, 14.03.2025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D164F" w:rsidRPr="009D31CA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1 823 000,00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303 833,33 </w:t>
      </w:r>
      <w:r w:rsidRPr="009D31CA">
        <w:rPr>
          <w:sz w:val="24"/>
          <w:szCs w:val="24"/>
        </w:rPr>
        <w:t>рублей;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911 500,00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182 300,00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91 500,00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182 300,00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4735A5" w:rsidRPr="00652198" w:rsidRDefault="004735A5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164F" w:rsidRPr="00652198" w:rsidRDefault="007D164F" w:rsidP="007D164F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6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D164F" w:rsidRPr="00652198" w:rsidRDefault="007D164F" w:rsidP="007D164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>
        <w:rPr>
          <w:sz w:val="24"/>
          <w:szCs w:val="24"/>
        </w:rPr>
        <w:t>щества города Челябинска на 2025-207</w:t>
      </w:r>
      <w:r w:rsidRPr="00BC7DC4">
        <w:rPr>
          <w:sz w:val="24"/>
          <w:szCs w:val="24"/>
        </w:rPr>
        <w:t>6 годы», распоряжение</w:t>
      </w:r>
      <w:r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31.03.2025</w:t>
      </w:r>
      <w:r w:rsidRPr="009613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3884-е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D164F" w:rsidRPr="00652198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</w:t>
      </w:r>
      <w:r>
        <w:rPr>
          <w:sz w:val="24"/>
          <w:szCs w:val="24"/>
        </w:rPr>
        <w:t>64,1</w:t>
      </w:r>
      <w:r w:rsidRPr="00A67901">
        <w:rPr>
          <w:sz w:val="24"/>
          <w:szCs w:val="24"/>
        </w:rPr>
        <w:t xml:space="preserve"> кв.м. 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Доватора</w:t>
      </w:r>
      <w:proofErr w:type="spellEnd"/>
      <w:r>
        <w:rPr>
          <w:sz w:val="24"/>
          <w:szCs w:val="24"/>
        </w:rPr>
        <w:t xml:space="preserve">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7D164F" w:rsidRPr="00A67901" w:rsidRDefault="007D164F" w:rsidP="007D164F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D164F" w:rsidRPr="00A67901" w:rsidRDefault="007D164F" w:rsidP="007D164F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0404006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75</w:t>
      </w:r>
      <w:r w:rsidRPr="00A67901">
        <w:rPr>
          <w:sz w:val="24"/>
          <w:szCs w:val="24"/>
        </w:rPr>
        <w:t>.</w:t>
      </w:r>
    </w:p>
    <w:p w:rsidR="007D164F" w:rsidRPr="00A67901" w:rsidRDefault="007D164F" w:rsidP="007D164F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64,1 </w:t>
      </w:r>
      <w:r w:rsidRPr="00A67901">
        <w:rPr>
          <w:sz w:val="24"/>
          <w:szCs w:val="24"/>
        </w:rPr>
        <w:t xml:space="preserve"> кв. м.</w:t>
      </w:r>
    </w:p>
    <w:p w:rsidR="007D164F" w:rsidRPr="00A4590B" w:rsidRDefault="007D164F" w:rsidP="007D164F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D164F" w:rsidRDefault="007D164F" w:rsidP="007D164F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04.10.2024 </w:t>
      </w:r>
      <w:r w:rsidRPr="00A4590B">
        <w:rPr>
          <w:sz w:val="24"/>
          <w:szCs w:val="24"/>
        </w:rPr>
        <w:br/>
        <w:t>№ 1854/2024</w:t>
      </w:r>
      <w:r w:rsidRPr="00C85563">
        <w:rPr>
          <w:sz w:val="24"/>
          <w:szCs w:val="24"/>
        </w:rPr>
        <w:t xml:space="preserve"> тип отделки – без отделки.</w:t>
      </w:r>
    </w:p>
    <w:p w:rsidR="007D164F" w:rsidRPr="006850A0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lastRenderedPageBreak/>
        <w:t xml:space="preserve">Дом оснащен системами водоснабжения, канализации, отопления </w:t>
      </w:r>
      <w:r w:rsidRPr="006850A0">
        <w:rPr>
          <w:sz w:val="24"/>
          <w:szCs w:val="24"/>
        </w:rPr>
        <w:br/>
        <w:t>и электроснабжения.</w:t>
      </w:r>
    </w:p>
    <w:p w:rsidR="007D164F" w:rsidRPr="006850A0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Вход в помещение через подъезд многоквартирного дома.</w:t>
      </w:r>
    </w:p>
    <w:p w:rsidR="007D164F" w:rsidRPr="006850A0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7D164F" w:rsidRPr="006850A0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Помещение состоит из нескольких смежных комнат, железная дверь, стены окрашены, пол частично бетонный, частично земляной.</w:t>
      </w:r>
    </w:p>
    <w:p w:rsidR="007D164F" w:rsidRPr="006850A0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Состояние удовлетворительное.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D164F" w:rsidRPr="009D31CA" w:rsidRDefault="007D164F" w:rsidP="007D164F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</w:t>
      </w:r>
      <w:r w:rsidRPr="00A67901">
        <w:rPr>
          <w:sz w:val="24"/>
          <w:szCs w:val="24"/>
        </w:rPr>
        <w:t>74:36:</w:t>
      </w:r>
      <w:r>
        <w:rPr>
          <w:sz w:val="24"/>
          <w:szCs w:val="24"/>
        </w:rPr>
        <w:t>0404006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75</w:t>
      </w:r>
      <w:r w:rsidRPr="009D31CA">
        <w:rPr>
          <w:sz w:val="24"/>
          <w:szCs w:val="24"/>
        </w:rPr>
        <w:t>.</w:t>
      </w:r>
    </w:p>
    <w:p w:rsidR="007D164F" w:rsidRPr="009D31CA" w:rsidRDefault="007D164F" w:rsidP="007D164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D164F" w:rsidRPr="009D31CA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rFonts w:eastAsiaTheme="minorHAnsi"/>
          <w:bCs/>
          <w:sz w:val="24"/>
          <w:szCs w:val="24"/>
          <w:lang w:eastAsia="en-US"/>
        </w:rPr>
        <w:t>24.01.2025, 14.03.2025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1 806 000,00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301 000,00 </w:t>
      </w:r>
      <w:r w:rsidRPr="009D31CA">
        <w:rPr>
          <w:sz w:val="24"/>
          <w:szCs w:val="24"/>
        </w:rPr>
        <w:t>рублей;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903 000,00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180 600,00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90 300,00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180 600,00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D164F" w:rsidRPr="00652198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164F" w:rsidRPr="00652198" w:rsidRDefault="007D164F" w:rsidP="007D164F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7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D164F" w:rsidRPr="00652198" w:rsidRDefault="007D164F" w:rsidP="007D164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BC7DC4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>
        <w:rPr>
          <w:sz w:val="24"/>
          <w:szCs w:val="24"/>
        </w:rPr>
        <w:t>щества города Челябинска на 2025-207</w:t>
      </w:r>
      <w:r w:rsidRPr="00BC7DC4">
        <w:rPr>
          <w:sz w:val="24"/>
          <w:szCs w:val="24"/>
        </w:rPr>
        <w:t>6 годы», распоряжение</w:t>
      </w:r>
      <w:r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31.03.2025</w:t>
      </w:r>
      <w:r w:rsidRPr="009613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3882-е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D164F" w:rsidRPr="00652198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</w:t>
      </w:r>
      <w:r w:rsidRPr="00A67901">
        <w:rPr>
          <w:sz w:val="24"/>
          <w:szCs w:val="24"/>
        </w:rPr>
        <w:t xml:space="preserve"> общей площадью  </w:t>
      </w:r>
      <w:r>
        <w:rPr>
          <w:sz w:val="24"/>
          <w:szCs w:val="24"/>
        </w:rPr>
        <w:t>76,9</w:t>
      </w:r>
      <w:r w:rsidRPr="00A67901">
        <w:rPr>
          <w:sz w:val="24"/>
          <w:szCs w:val="24"/>
        </w:rPr>
        <w:t xml:space="preserve"> кв.м. 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Аносова,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6</w:t>
      </w:r>
      <w:r w:rsidRPr="00A67901">
        <w:rPr>
          <w:sz w:val="24"/>
          <w:szCs w:val="24"/>
        </w:rPr>
        <w:t>.</w:t>
      </w:r>
    </w:p>
    <w:p w:rsidR="007D164F" w:rsidRPr="00A67901" w:rsidRDefault="007D164F" w:rsidP="007D164F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D164F" w:rsidRPr="00A67901" w:rsidRDefault="007D164F" w:rsidP="007D164F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0119007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889</w:t>
      </w:r>
      <w:r w:rsidRPr="00A67901">
        <w:rPr>
          <w:sz w:val="24"/>
          <w:szCs w:val="24"/>
        </w:rPr>
        <w:t>.</w:t>
      </w:r>
    </w:p>
    <w:p w:rsidR="007D164F" w:rsidRPr="00A67901" w:rsidRDefault="007D164F" w:rsidP="007D164F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76,9 </w:t>
      </w:r>
      <w:r w:rsidRPr="00A67901">
        <w:rPr>
          <w:sz w:val="24"/>
          <w:szCs w:val="24"/>
        </w:rPr>
        <w:t xml:space="preserve"> кв. м.</w:t>
      </w:r>
    </w:p>
    <w:p w:rsidR="007D164F" w:rsidRPr="00A4590B" w:rsidRDefault="007D164F" w:rsidP="007D164F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цоколь.</w:t>
      </w:r>
    </w:p>
    <w:p w:rsidR="007D164F" w:rsidRDefault="007D164F" w:rsidP="007D164F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04.10.2024 </w:t>
      </w:r>
      <w:r w:rsidRPr="00A4590B">
        <w:rPr>
          <w:sz w:val="24"/>
          <w:szCs w:val="24"/>
        </w:rPr>
        <w:br/>
        <w:t>№ 1860/2024</w:t>
      </w:r>
      <w:r w:rsidRPr="00C85563">
        <w:rPr>
          <w:sz w:val="24"/>
          <w:szCs w:val="24"/>
        </w:rPr>
        <w:t xml:space="preserve"> тип отделки – стандарт.</w:t>
      </w:r>
    </w:p>
    <w:p w:rsidR="007D164F" w:rsidRPr="00C85563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7D164F" w:rsidRPr="00C85563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7D164F" w:rsidRPr="00C85563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7D164F" w:rsidRPr="00C85563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7D164F" w:rsidRPr="00C85563" w:rsidRDefault="007D164F" w:rsidP="007D164F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D164F" w:rsidRPr="00A67901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D164F" w:rsidRPr="009D31CA" w:rsidRDefault="007D164F" w:rsidP="007D164F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lastRenderedPageBreak/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>20.03.2024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74:36:0119007:889-74/108/2024-1</w:t>
      </w:r>
      <w:r w:rsidRPr="009D31CA">
        <w:rPr>
          <w:sz w:val="24"/>
          <w:szCs w:val="24"/>
        </w:rPr>
        <w:t>.</w:t>
      </w:r>
    </w:p>
    <w:p w:rsidR="007D164F" w:rsidRPr="009D31CA" w:rsidRDefault="007D164F" w:rsidP="007D164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D164F" w:rsidRPr="009D31CA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rFonts w:eastAsiaTheme="minorHAnsi"/>
          <w:bCs/>
          <w:sz w:val="24"/>
          <w:szCs w:val="24"/>
          <w:lang w:eastAsia="en-US"/>
        </w:rPr>
        <w:t>24.01.2025, 14.03.2025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D164F" w:rsidRPr="009D31CA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2 286 000,00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381 000,00 </w:t>
      </w:r>
      <w:r w:rsidRPr="009D31CA">
        <w:rPr>
          <w:sz w:val="24"/>
          <w:szCs w:val="24"/>
        </w:rPr>
        <w:t>рублей;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1 143 000,00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228 600,00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114 300,00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228 600,00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D164F" w:rsidRPr="009D31CA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164F" w:rsidRDefault="007D164F" w:rsidP="007D164F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8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D164F" w:rsidRPr="003E4D2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решения:</w:t>
      </w:r>
      <w:r w:rsidRPr="00BC7DC4">
        <w:rPr>
          <w:b/>
          <w:sz w:val="24"/>
          <w:szCs w:val="24"/>
        </w:rPr>
        <w:t xml:space="preserve">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</w:t>
      </w:r>
      <w:r>
        <w:rPr>
          <w:sz w:val="24"/>
          <w:szCs w:val="24"/>
        </w:rPr>
        <w:t>ущества города Челябинска на 2025-2027</w:t>
      </w:r>
      <w:r w:rsidRPr="00BC7DC4">
        <w:rPr>
          <w:sz w:val="24"/>
          <w:szCs w:val="24"/>
        </w:rPr>
        <w:t xml:space="preserve"> годы», распоряжение</w:t>
      </w:r>
      <w:r w:rsidRPr="008E4410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Pr="008E441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31.03.2025</w:t>
      </w:r>
      <w:r w:rsidRPr="008E441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3888-е</w:t>
      </w:r>
      <w:r>
        <w:rPr>
          <w:sz w:val="24"/>
          <w:szCs w:val="24"/>
        </w:rPr>
        <w:t xml:space="preserve">  </w:t>
      </w:r>
      <w:r w:rsidRPr="008E4410">
        <w:rPr>
          <w:sz w:val="24"/>
          <w:szCs w:val="24"/>
        </w:rPr>
        <w:t>«Об условиях приватизации муниципального имущества»</w:t>
      </w:r>
      <w:r w:rsidRPr="003E4D2F">
        <w:rPr>
          <w:sz w:val="24"/>
          <w:szCs w:val="24"/>
        </w:rPr>
        <w:t xml:space="preserve"> </w:t>
      </w:r>
      <w:proofErr w:type="gramEnd"/>
    </w:p>
    <w:p w:rsidR="007D164F" w:rsidRPr="003E4D2F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7D164F" w:rsidRPr="003E4D2F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7D164F" w:rsidRDefault="007D164F" w:rsidP="007D164F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7D164F" w:rsidRPr="001D115B" w:rsidRDefault="007D164F" w:rsidP="007D164F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7D164F" w:rsidRPr="003E4D2F" w:rsidRDefault="007D164F" w:rsidP="007D164F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7D164F" w:rsidRPr="003E4D2F" w:rsidRDefault="007D164F" w:rsidP="007D164F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7D164F" w:rsidRPr="00816A40" w:rsidRDefault="007D164F" w:rsidP="007D164F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7D164F" w:rsidRDefault="007D164F" w:rsidP="007D164F">
      <w:pPr>
        <w:jc w:val="both"/>
        <w:rPr>
          <w:sz w:val="24"/>
          <w:szCs w:val="24"/>
        </w:rPr>
      </w:pPr>
      <w:r w:rsidRPr="00095F3F">
        <w:rPr>
          <w:sz w:val="24"/>
          <w:szCs w:val="24"/>
        </w:rPr>
        <w:t xml:space="preserve">В соответствии с отчетом об оценке рыночной стоимости объекта  от 31.10.2024 </w:t>
      </w:r>
      <w:r w:rsidRPr="00095F3F">
        <w:rPr>
          <w:sz w:val="24"/>
          <w:szCs w:val="24"/>
        </w:rPr>
        <w:br/>
        <w:t>№ 1890/2024 тип отделки – стандарт.</w:t>
      </w:r>
    </w:p>
    <w:p w:rsidR="007D164F" w:rsidRPr="007F4134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Нежилое помещение расположено в подвале многоквартирного  дома. Вход  </w:t>
      </w:r>
      <w:r w:rsidRPr="007F4134">
        <w:rPr>
          <w:sz w:val="24"/>
          <w:szCs w:val="24"/>
        </w:rPr>
        <w:br/>
        <w:t xml:space="preserve">в помещение совместно с третьими лицами (через подъезд № 3).   </w:t>
      </w:r>
    </w:p>
    <w:p w:rsidR="007D164F" w:rsidRPr="007F4134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Помещение состоит из нескольких комнат, пол земляной, стены побелены. </w:t>
      </w:r>
    </w:p>
    <w:p w:rsidR="007D164F" w:rsidRPr="007F4134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>Многоквартирный дом оснащен системами электроснабжения, теплоснабжения, водоснабжения, водоотведения.</w:t>
      </w:r>
    </w:p>
    <w:p w:rsidR="007D164F" w:rsidRPr="003E4D2F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7D164F" w:rsidRPr="003E4D2F" w:rsidRDefault="007D164F" w:rsidP="007D164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а. Зап</w:t>
      </w:r>
      <w:r w:rsidRPr="00022B43">
        <w:rPr>
          <w:sz w:val="24"/>
          <w:szCs w:val="24"/>
        </w:rPr>
        <w:t xml:space="preserve">ись в </w:t>
      </w:r>
      <w:r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t xml:space="preserve">от </w:t>
      </w:r>
      <w:r>
        <w:rPr>
          <w:sz w:val="24"/>
          <w:szCs w:val="24"/>
        </w:rPr>
        <w:t>11.04.2016</w:t>
      </w:r>
      <w:r w:rsidRPr="00022B43">
        <w:rPr>
          <w:sz w:val="24"/>
          <w:szCs w:val="24"/>
        </w:rPr>
        <w:t xml:space="preserve"> № </w:t>
      </w:r>
      <w:r>
        <w:rPr>
          <w:sz w:val="24"/>
          <w:szCs w:val="24"/>
        </w:rPr>
        <w:t>74-74/036-74/001/102/2016-2370/1.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7D164F" w:rsidRPr="00D10742" w:rsidRDefault="007D164F" w:rsidP="007D164F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Pr="008E4410">
        <w:rPr>
          <w:rFonts w:eastAsiaTheme="minorHAnsi"/>
          <w:bCs/>
          <w:sz w:val="24"/>
          <w:szCs w:val="24"/>
          <w:lang w:eastAsia="en-US"/>
        </w:rPr>
        <w:t>01.12.2023, 22.03.2024</w:t>
      </w:r>
      <w:r>
        <w:rPr>
          <w:rFonts w:eastAsiaTheme="minorHAnsi"/>
          <w:bCs/>
          <w:sz w:val="24"/>
          <w:szCs w:val="24"/>
          <w:lang w:eastAsia="en-US"/>
        </w:rPr>
        <w:t>, 19.07.2024, 23.08.2024, 25.10.2024, 24.01.2025, 14.03.2025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E75388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>
        <w:rPr>
          <w:sz w:val="24"/>
          <w:szCs w:val="24"/>
        </w:rPr>
        <w:t>4 944 790,19</w:t>
      </w:r>
      <w:r w:rsidRPr="008E4410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19 копеек</w:t>
      </w:r>
      <w:r w:rsidRPr="008E4410">
        <w:rPr>
          <w:sz w:val="24"/>
          <w:szCs w:val="24"/>
        </w:rPr>
        <w:t xml:space="preserve">, в том числе НДС в размере </w:t>
      </w:r>
      <w:r>
        <w:rPr>
          <w:sz w:val="24"/>
          <w:szCs w:val="24"/>
        </w:rPr>
        <w:br/>
      </w:r>
      <w:r w:rsidRPr="002B6C3D">
        <w:rPr>
          <w:sz w:val="24"/>
          <w:szCs w:val="24"/>
        </w:rPr>
        <w:t>824</w:t>
      </w:r>
      <w:r>
        <w:rPr>
          <w:sz w:val="24"/>
          <w:szCs w:val="24"/>
        </w:rPr>
        <w:t xml:space="preserve"> </w:t>
      </w:r>
      <w:r w:rsidRPr="002B6C3D">
        <w:rPr>
          <w:sz w:val="24"/>
          <w:szCs w:val="24"/>
        </w:rPr>
        <w:t>131,70</w:t>
      </w:r>
      <w:r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70 копеек</w:t>
      </w:r>
      <w:r w:rsidRPr="00037F6C">
        <w:rPr>
          <w:sz w:val="24"/>
          <w:szCs w:val="24"/>
        </w:rPr>
        <w:t>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lastRenderedPageBreak/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2 472 395,09</w:t>
      </w:r>
      <w:r w:rsidRPr="00FF0DC5">
        <w:rPr>
          <w:sz w:val="24"/>
          <w:szCs w:val="24"/>
        </w:rPr>
        <w:t xml:space="preserve"> рублей (50 %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494 479,01</w:t>
      </w:r>
      <w:r w:rsidRPr="00FF0DC5">
        <w:rPr>
          <w:sz w:val="24"/>
          <w:szCs w:val="24"/>
        </w:rPr>
        <w:t xml:space="preserve"> рублей (10 %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247 239,50</w:t>
      </w:r>
      <w:r w:rsidRPr="00FF0DC5">
        <w:rPr>
          <w:sz w:val="24"/>
          <w:szCs w:val="24"/>
        </w:rPr>
        <w:t xml:space="preserve"> рублей (5 % от начальной цены);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494 479,01</w:t>
      </w:r>
      <w:r w:rsidRPr="00FF0DC5">
        <w:rPr>
          <w:sz w:val="24"/>
          <w:szCs w:val="24"/>
        </w:rPr>
        <w:t xml:space="preserve"> рублей (10 % от начальной цены).</w:t>
      </w:r>
    </w:p>
    <w:p w:rsidR="007D164F" w:rsidRPr="00FF0DC5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D164F" w:rsidRDefault="007D164F" w:rsidP="007D1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7D24BD" w:rsidRPr="00967D34" w:rsidRDefault="007D24BD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Pr="00967D34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</w:t>
      </w:r>
      <w:r w:rsidRPr="00967D34">
        <w:rPr>
          <w:sz w:val="24"/>
          <w:szCs w:val="24"/>
        </w:rPr>
        <w:lastRenderedPageBreak/>
        <w:t>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FF0DC5" w:rsidRPr="00967D34" w:rsidRDefault="00FF0DC5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E57D0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 xml:space="preserve">– </w:t>
      </w:r>
      <w:r w:rsidRPr="00967D34">
        <w:rPr>
          <w:sz w:val="24"/>
          <w:szCs w:val="24"/>
        </w:rPr>
        <w:lastRenderedPageBreak/>
        <w:t>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210591" w:rsidRDefault="00210591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lastRenderedPageBreak/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4B54A2">
        <w:rPr>
          <w:sz w:val="24"/>
          <w:szCs w:val="24"/>
        </w:rPr>
        <w:t>15.05.2025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Pr="00967D34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lastRenderedPageBreak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52DA1" w:rsidRPr="00967D34" w:rsidRDefault="00952DA1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</w:t>
      </w:r>
      <w:r w:rsidR="004F6E57">
        <w:rPr>
          <w:snapToGrid w:val="0"/>
          <w:sz w:val="24"/>
          <w:szCs w:val="24"/>
        </w:rPr>
        <w:t>40 04</w:t>
      </w:r>
      <w:r w:rsidRPr="0063776F">
        <w:rPr>
          <w:snapToGrid w:val="0"/>
          <w:sz w:val="24"/>
          <w:szCs w:val="24"/>
        </w:rPr>
        <w:t xml:space="preserve">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Pr="00967D34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</w:t>
      </w:r>
      <w:r w:rsidR="00210591">
        <w:rPr>
          <w:rFonts w:eastAsiaTheme="minorHAnsi"/>
          <w:bCs/>
          <w:sz w:val="24"/>
          <w:szCs w:val="24"/>
          <w:lang w:eastAsia="en-US"/>
        </w:rPr>
        <w:t>е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</w:t>
      </w:r>
      <w:r w:rsidR="004B54A2">
        <w:rPr>
          <w:sz w:val="24"/>
          <w:szCs w:val="24"/>
        </w:rPr>
        <w:t>ы</w:t>
      </w:r>
      <w:r w:rsidR="0072419E" w:rsidRPr="00967D34">
        <w:rPr>
          <w:sz w:val="24"/>
          <w:szCs w:val="24"/>
        </w:rPr>
        <w:t xml:space="preserve"> договор</w:t>
      </w:r>
      <w:r w:rsidR="004B54A2">
        <w:rPr>
          <w:sz w:val="24"/>
          <w:szCs w:val="24"/>
        </w:rPr>
        <w:t>ов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4B54A2" w:rsidP="00E57D08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C15B2F" w:rsidRPr="00967D34">
        <w:rPr>
          <w:color w:val="000000" w:themeColor="text1"/>
          <w:sz w:val="24"/>
          <w:szCs w:val="24"/>
        </w:rPr>
        <w:t>редседател</w:t>
      </w:r>
      <w:r>
        <w:rPr>
          <w:color w:val="000000" w:themeColor="text1"/>
          <w:sz w:val="24"/>
          <w:szCs w:val="24"/>
        </w:rPr>
        <w:t>ь</w:t>
      </w:r>
      <w:r w:rsidR="00C15B2F" w:rsidRPr="00967D34">
        <w:rPr>
          <w:color w:val="000000" w:themeColor="text1"/>
          <w:sz w:val="24"/>
          <w:szCs w:val="24"/>
        </w:rPr>
        <w:t xml:space="preserve">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4F6E57">
        <w:rPr>
          <w:color w:val="000000" w:themeColor="text1"/>
          <w:sz w:val="24"/>
          <w:szCs w:val="24"/>
        </w:rPr>
        <w:t xml:space="preserve">А. Н. </w:t>
      </w:r>
      <w:proofErr w:type="spellStart"/>
      <w:r w:rsidR="004F6E57">
        <w:rPr>
          <w:color w:val="000000" w:themeColor="text1"/>
          <w:sz w:val="24"/>
          <w:szCs w:val="24"/>
        </w:rPr>
        <w:t>Лаптиева</w:t>
      </w:r>
      <w:proofErr w:type="spellEnd"/>
    </w:p>
    <w:sectPr w:rsidR="005134DF" w:rsidRPr="00967D34" w:rsidSect="00723ECB">
      <w:headerReference w:type="default" r:id="rId22"/>
      <w:pgSz w:w="11906" w:h="16838"/>
      <w:pgMar w:top="851" w:right="567" w:bottom="851" w:left="1418" w:header="28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4F" w:rsidRDefault="007D164F" w:rsidP="00897818">
      <w:r>
        <w:separator/>
      </w:r>
    </w:p>
  </w:endnote>
  <w:endnote w:type="continuationSeparator" w:id="1">
    <w:p w:rsidR="007D164F" w:rsidRDefault="007D164F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4F" w:rsidRDefault="007D164F" w:rsidP="00897818">
      <w:r>
        <w:separator/>
      </w:r>
    </w:p>
  </w:footnote>
  <w:footnote w:type="continuationSeparator" w:id="1">
    <w:p w:rsidR="007D164F" w:rsidRDefault="007D164F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7D164F" w:rsidRDefault="008B5528">
        <w:pPr>
          <w:pStyle w:val="a3"/>
          <w:jc w:val="center"/>
        </w:pPr>
        <w:fldSimple w:instr=" PAGE   \* MERGEFORMAT ">
          <w:r w:rsidR="00200C76">
            <w:rPr>
              <w:noProof/>
            </w:rPr>
            <w:t>2</w:t>
          </w:r>
        </w:fldSimple>
      </w:p>
    </w:sdtContent>
  </w:sdt>
  <w:p w:rsidR="007D164F" w:rsidRDefault="007D16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C7638"/>
    <w:rsid w:val="001D1EBA"/>
    <w:rsid w:val="001D254B"/>
    <w:rsid w:val="001D2BCC"/>
    <w:rsid w:val="001D4DD7"/>
    <w:rsid w:val="00200C76"/>
    <w:rsid w:val="00204F1D"/>
    <w:rsid w:val="00210591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162E1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77B01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5A5"/>
    <w:rsid w:val="00473B3A"/>
    <w:rsid w:val="0047503E"/>
    <w:rsid w:val="00484DA9"/>
    <w:rsid w:val="00487502"/>
    <w:rsid w:val="00495FC8"/>
    <w:rsid w:val="00496890"/>
    <w:rsid w:val="004A2A1C"/>
    <w:rsid w:val="004A46C7"/>
    <w:rsid w:val="004B1FFA"/>
    <w:rsid w:val="004B54A2"/>
    <w:rsid w:val="004C62C2"/>
    <w:rsid w:val="004C73EF"/>
    <w:rsid w:val="004C7492"/>
    <w:rsid w:val="004D15A2"/>
    <w:rsid w:val="004E1BB9"/>
    <w:rsid w:val="004F1067"/>
    <w:rsid w:val="004F6E5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04530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C2779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3ECB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164F"/>
    <w:rsid w:val="007D24BD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5528"/>
    <w:rsid w:val="008B78DF"/>
    <w:rsid w:val="008C7D23"/>
    <w:rsid w:val="008E080C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0EF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41F7C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15A5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8487</Words>
  <Characters>48379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6</cp:revision>
  <cp:lastPrinted>2025-04-09T09:18:00Z</cp:lastPrinted>
  <dcterms:created xsi:type="dcterms:W3CDTF">2025-04-03T05:52:00Z</dcterms:created>
  <dcterms:modified xsi:type="dcterms:W3CDTF">2025-04-09T09:52:00Z</dcterms:modified>
</cp:coreProperties>
</file>