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5" w:rsidRDefault="007C2AD5" w:rsidP="007C2AD5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7C2AD5" w:rsidRPr="0031235C" w:rsidRDefault="007C2AD5" w:rsidP="007C2AD5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объектов незавершенного строительства</w:t>
      </w:r>
    </w:p>
    <w:p w:rsidR="007C2AD5" w:rsidRPr="00FE4EDF" w:rsidRDefault="007C2AD5" w:rsidP="007C2AD5"/>
    <w:p w:rsidR="007C2AD5" w:rsidRPr="00DD1AC9" w:rsidRDefault="007C2AD5" w:rsidP="007C2AD5">
      <w:pPr>
        <w:ind w:firstLine="709"/>
        <w:contextualSpacing/>
        <w:jc w:val="both"/>
      </w:pPr>
      <w:r w:rsidRPr="00DD1AC9">
        <w:rPr>
          <w:b/>
        </w:rPr>
        <w:t>Организатор аукциона</w:t>
      </w:r>
      <w:r w:rsidRPr="00DD1AC9">
        <w:t>: Комитет по управлению имуществом и  земельным отношениям города Челябинска (далее – Комитет, организатор аукциона).</w:t>
      </w:r>
    </w:p>
    <w:p w:rsidR="007C2AD5" w:rsidRPr="00DD1AC9" w:rsidRDefault="007C2AD5" w:rsidP="007C2AD5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7C2AD5" w:rsidRPr="00DD1AC9" w:rsidRDefault="007C2AD5" w:rsidP="007C2AD5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7C2AD5" w:rsidRPr="00DD1AC9" w:rsidRDefault="007C2AD5" w:rsidP="007C2AD5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7C2AD5" w:rsidRPr="00DD1AC9" w:rsidRDefault="007C2AD5" w:rsidP="007C2AD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>
        <w:t>»</w:t>
      </w:r>
      <w:r w:rsidRPr="00DD1AC9">
        <w:t xml:space="preserve">, </w:t>
      </w:r>
      <w:r w:rsidRPr="001A10B8">
        <w:t>распоряжение замес</w:t>
      </w:r>
      <w:r>
        <w:t>тителя Главы города по правовым</w:t>
      </w:r>
      <w:r w:rsidRPr="001A10B8">
        <w:t xml:space="preserve"> </w:t>
      </w:r>
      <w:r>
        <w:br/>
      </w:r>
      <w:r w:rsidRPr="001A10B8">
        <w:t>и имущественным</w:t>
      </w:r>
      <w:r>
        <w:t xml:space="preserve"> вопросам от 27.04.2022 № 4648</w:t>
      </w:r>
      <w:r w:rsidRPr="001A10B8">
        <w:t>-р</w:t>
      </w:r>
      <w:r w:rsidRPr="0067324D">
        <w:t xml:space="preserve"> «</w:t>
      </w:r>
      <w:r>
        <w:t>О продаже на аукционе объектов незавершенного строительства».</w:t>
      </w:r>
    </w:p>
    <w:p w:rsidR="007C2AD5" w:rsidRPr="00233529" w:rsidRDefault="007C2AD5" w:rsidP="007C2AD5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AA3DFB">
        <w:t xml:space="preserve"> </w:t>
      </w:r>
      <w:r w:rsidRPr="00233529">
        <w:t xml:space="preserve">Арбитражный </w:t>
      </w:r>
      <w:r w:rsidRPr="00233529">
        <w:br/>
        <w:t>суд Челябинской области</w:t>
      </w:r>
      <w:r>
        <w:t xml:space="preserve"> (решение Арбитражного суда Челябинской области от 10.09.2021  по делу № А76-1082/2021</w:t>
      </w:r>
      <w:r w:rsidRPr="00233529">
        <w:t xml:space="preserve">). </w:t>
      </w:r>
    </w:p>
    <w:p w:rsidR="007C2AD5" w:rsidRDefault="007C2AD5" w:rsidP="007C2AD5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«</w:t>
      </w:r>
      <w:r>
        <w:t xml:space="preserve">Изъять у общества с ограниченной ответственностью «Рент Актив», </w:t>
      </w:r>
      <w:proofErr w:type="gramStart"/>
      <w:r>
        <w:t>г</w:t>
      </w:r>
      <w:proofErr w:type="gramEnd"/>
      <w:r>
        <w:t xml:space="preserve">. Челябинск (ОГРН 1137447012647) путем продажи </w:t>
      </w:r>
      <w:r>
        <w:br/>
        <w:t xml:space="preserve">с публичных торгов следующие объект незавершенного строительства: </w:t>
      </w:r>
    </w:p>
    <w:p w:rsidR="007C2AD5" w:rsidRDefault="007C2AD5" w:rsidP="007C2AD5">
      <w:pPr>
        <w:ind w:firstLine="709"/>
        <w:contextualSpacing/>
        <w:jc w:val="both"/>
      </w:pPr>
      <w:r>
        <w:t xml:space="preserve">-объекта незавершенного строительства с кадастровым номером 74:36:0000000:45848, площадью застройки 18 кв.м., со степенью готовности 20 %, расположенный по адресу: </w:t>
      </w:r>
      <w:r>
        <w:br/>
        <w:t xml:space="preserve">г. Челябинск, Курчатовский р-н, ул. </w:t>
      </w:r>
      <w:proofErr w:type="gramStart"/>
      <w:r>
        <w:t>Автодорожная</w:t>
      </w:r>
      <w:proofErr w:type="gramEnd"/>
      <w:r>
        <w:t xml:space="preserve">, </w:t>
      </w:r>
    </w:p>
    <w:p w:rsidR="007C2AD5" w:rsidRPr="004A7097" w:rsidRDefault="007C2AD5" w:rsidP="007C2AD5">
      <w:pPr>
        <w:ind w:firstLine="709"/>
        <w:contextualSpacing/>
        <w:jc w:val="both"/>
      </w:pPr>
      <w:r>
        <w:t xml:space="preserve">-объект незавершенного строительства с кадастровым номером 74:36:0000000:45847, площадью застройки 574.1 кв.м., со степенью готовности 20 %, расположенный по адресу: </w:t>
      </w:r>
      <w:r>
        <w:br/>
        <w:t xml:space="preserve">г. Челябинск, Курчатовский р-н, ул. </w:t>
      </w:r>
      <w:proofErr w:type="gramStart"/>
      <w:r>
        <w:t>Автодорожная</w:t>
      </w:r>
      <w:proofErr w:type="gramEnd"/>
      <w:r w:rsidRPr="004A7097">
        <w:t>».</w:t>
      </w:r>
    </w:p>
    <w:p w:rsidR="007C2AD5" w:rsidRPr="00086D2A" w:rsidRDefault="007C2AD5" w:rsidP="007C2AD5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7C2AD5" w:rsidRPr="00086D2A" w:rsidRDefault="007C2AD5" w:rsidP="007C2AD5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7C2AD5" w:rsidRPr="00086D2A" w:rsidRDefault="007C2AD5" w:rsidP="007C2AD5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7C2AD5" w:rsidRPr="00086D2A" w:rsidRDefault="007C2AD5" w:rsidP="007C2AD5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7C2AD5" w:rsidRPr="00086D2A" w:rsidRDefault="007C2AD5" w:rsidP="007C2AD5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7C2AD5" w:rsidRPr="00086D2A" w:rsidRDefault="007C2AD5" w:rsidP="007C2AD5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  <w:t>Факс: (495) 787-29-98</w:t>
      </w:r>
    </w:p>
    <w:p w:rsidR="007C2AD5" w:rsidRPr="00DD1AC9" w:rsidRDefault="007C2AD5" w:rsidP="007C2AD5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B46AC" w:rsidRPr="006865FA" w:rsidRDefault="00EB46AC" w:rsidP="00EB46A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09.07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EB46AC" w:rsidRPr="006865FA" w:rsidRDefault="00EB46AC" w:rsidP="00EB46AC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B46AC" w:rsidRPr="006865FA" w:rsidRDefault="00EB46AC" w:rsidP="00EB46A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12.08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B46AC" w:rsidRPr="006865FA" w:rsidRDefault="00EB46AC" w:rsidP="00EB46AC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B46AC" w:rsidRPr="006865FA" w:rsidRDefault="00EB46AC" w:rsidP="00EB46AC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15.08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EB46AC" w:rsidRPr="006865FA" w:rsidRDefault="00EB46AC" w:rsidP="00EB46A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16.08</w:t>
      </w:r>
      <w:r w:rsidRPr="006865FA">
        <w:t>.2022</w:t>
      </w:r>
      <w:r>
        <w:t xml:space="preserve"> в 08</w:t>
      </w:r>
      <w:r w:rsidRPr="006865FA">
        <w:t>:00(МСК).</w:t>
      </w:r>
    </w:p>
    <w:p w:rsidR="00EB46AC" w:rsidRPr="006865FA" w:rsidRDefault="00EB46AC" w:rsidP="00EB46AC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2B670C" w:rsidRDefault="002B670C" w:rsidP="00066AAC">
      <w:pPr>
        <w:ind w:firstLine="709"/>
        <w:contextualSpacing/>
        <w:jc w:val="both"/>
        <w:rPr>
          <w:b/>
        </w:rPr>
      </w:pPr>
    </w:p>
    <w:p w:rsidR="002B670C" w:rsidRDefault="002B670C" w:rsidP="00066AAC">
      <w:pPr>
        <w:ind w:firstLine="709"/>
        <w:contextualSpacing/>
        <w:jc w:val="both"/>
        <w:rPr>
          <w:b/>
        </w:rPr>
      </w:pPr>
      <w:r w:rsidRPr="002B670C">
        <w:rPr>
          <w:b/>
        </w:rPr>
        <w:t>Лот № 1</w:t>
      </w:r>
    </w:p>
    <w:p w:rsidR="00830ACA" w:rsidRDefault="002A0324" w:rsidP="002B670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2533CF" w:rsidRPr="002533CF">
        <w:t xml:space="preserve">объект незавершенного строительства </w:t>
      </w:r>
      <w:r w:rsidR="002B670C">
        <w:t>с кадастровым номером 74:36:0000000:45847 площадью застройки 574.1 кв. м со степенью готовности объекта 20 %</w:t>
      </w:r>
      <w:r w:rsidR="002533CF" w:rsidRPr="002533CF">
        <w:t>, расположенный по адресу</w:t>
      </w:r>
      <w:r w:rsidR="00F345DB">
        <w:t xml:space="preserve"> (местоположение)</w:t>
      </w:r>
      <w:r w:rsidR="002533CF" w:rsidRPr="002533CF">
        <w:t xml:space="preserve">: </w:t>
      </w:r>
      <w:r w:rsidR="002B670C">
        <w:t xml:space="preserve">Челябинская область, </w:t>
      </w:r>
      <w:proofErr w:type="gramStart"/>
      <w:r w:rsidR="002B670C">
        <w:t>г</w:t>
      </w:r>
      <w:proofErr w:type="gramEnd"/>
      <w:r w:rsidR="002B670C">
        <w:t xml:space="preserve">. Челябинск, </w:t>
      </w:r>
      <w:r w:rsidR="00C9059A">
        <w:br/>
      </w:r>
      <w:r w:rsidR="002B670C">
        <w:t>р-н Курчатовский, ул. Автодорожная</w:t>
      </w:r>
      <w:r w:rsidR="00830ACA">
        <w:t>.</w:t>
      </w:r>
    </w:p>
    <w:p w:rsidR="00812088" w:rsidRDefault="00066AAC" w:rsidP="00812088">
      <w:pPr>
        <w:ind w:firstLine="709"/>
        <w:contextualSpacing/>
        <w:jc w:val="both"/>
        <w:rPr>
          <w:highlight w:val="yellow"/>
        </w:rPr>
      </w:pPr>
      <w:r w:rsidRPr="00066AAC">
        <w:rPr>
          <w:b/>
        </w:rPr>
        <w:t>Ограничение прав и обременение объекта недвижимости:</w:t>
      </w:r>
      <w:r w:rsidR="00812088">
        <w:rPr>
          <w:b/>
        </w:rPr>
        <w:t xml:space="preserve"> </w:t>
      </w:r>
      <w:r w:rsidR="00812088">
        <w:t>не зарегистрировано.</w:t>
      </w:r>
    </w:p>
    <w:p w:rsidR="002A0324" w:rsidRPr="00662671" w:rsidRDefault="002A0324" w:rsidP="00812088">
      <w:pPr>
        <w:ind w:firstLine="709"/>
        <w:contextualSpacing/>
        <w:jc w:val="both"/>
      </w:pPr>
      <w:r w:rsidRPr="00610F08">
        <w:rPr>
          <w:b/>
        </w:rPr>
        <w:t>Начальная цена предмета аукциона составляет</w:t>
      </w:r>
      <w:r w:rsidRPr="00662671">
        <w:t xml:space="preserve"> </w:t>
      </w:r>
      <w:r w:rsidR="0048282C" w:rsidRPr="00662671">
        <w:t xml:space="preserve">2 972 200,00 </w:t>
      </w:r>
      <w:r w:rsidR="0048282C" w:rsidRPr="0048282C">
        <w:t>два миллиона девятьсот семьдесят две тысячи двести рублей 00 копеек</w:t>
      </w:r>
      <w:r w:rsidR="0048282C">
        <w:t xml:space="preserve"> </w:t>
      </w:r>
      <w:r w:rsidRPr="00662671">
        <w:t>в т.ч. НДС 20%</w:t>
      </w:r>
      <w:r w:rsidR="002C704B" w:rsidRPr="00662671">
        <w:t xml:space="preserve">. </w:t>
      </w:r>
      <w:r w:rsidR="00CC1D14" w:rsidRPr="00662671">
        <w:t>(согласно отчету об оценке).</w:t>
      </w:r>
    </w:p>
    <w:p w:rsidR="002A0324" w:rsidRPr="00662671" w:rsidRDefault="002A0324" w:rsidP="00811253">
      <w:pPr>
        <w:ind w:firstLine="709"/>
        <w:contextualSpacing/>
        <w:jc w:val="both"/>
      </w:pPr>
      <w:r w:rsidRPr="00610F08">
        <w:rPr>
          <w:b/>
        </w:rPr>
        <w:t>Задаток для участия в аукционе в размере 20 % от начальной цены предмета аукциона:</w:t>
      </w:r>
      <w:r w:rsidRPr="00662671">
        <w:t xml:space="preserve"> </w:t>
      </w:r>
      <w:r w:rsidR="0048282C" w:rsidRPr="00662671">
        <w:t>594 440,00</w:t>
      </w:r>
      <w:r w:rsidR="008A353A" w:rsidRPr="00662671">
        <w:t xml:space="preserve"> </w:t>
      </w:r>
      <w:r w:rsidR="0048282C">
        <w:t>(</w:t>
      </w:r>
      <w:r w:rsidR="0048282C" w:rsidRPr="0048282C">
        <w:t>пятьсот девяносто четыре тысячи четыреста сорок</w:t>
      </w:r>
      <w:r w:rsidR="0048282C">
        <w:t>)</w:t>
      </w:r>
      <w:r w:rsidR="0048282C" w:rsidRPr="0048282C">
        <w:t xml:space="preserve"> рублей 00 копеек</w:t>
      </w:r>
      <w:r w:rsidR="009944C5" w:rsidRPr="00662671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10F08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 и составляет</w:t>
      </w:r>
      <w:r w:rsidRPr="00662671">
        <w:t xml:space="preserve"> </w:t>
      </w:r>
      <w:r w:rsidR="00662671" w:rsidRPr="00662671">
        <w:t>29 722,00</w:t>
      </w:r>
      <w:r w:rsidR="009D06B5" w:rsidRPr="00662671">
        <w:t xml:space="preserve"> </w:t>
      </w:r>
      <w:r w:rsidR="00662671">
        <w:t>(</w:t>
      </w:r>
      <w:r w:rsidR="00662671" w:rsidRPr="00662671">
        <w:t>двадцать девять тысяч семьсот двадцать два</w:t>
      </w:r>
      <w:r w:rsidR="00662671">
        <w:t>)</w:t>
      </w:r>
      <w:r w:rsidR="00662671" w:rsidRPr="00662671">
        <w:t xml:space="preserve"> рубля 00 копеек</w:t>
      </w:r>
      <w:r w:rsidR="00503C74" w:rsidRPr="00662671">
        <w:t>.</w:t>
      </w:r>
    </w:p>
    <w:p w:rsidR="00812088" w:rsidRDefault="00812088" w:rsidP="00811253">
      <w:pPr>
        <w:ind w:firstLine="709"/>
        <w:contextualSpacing/>
        <w:jc w:val="both"/>
        <w:rPr>
          <w:b/>
        </w:rPr>
      </w:pPr>
    </w:p>
    <w:p w:rsidR="00812088" w:rsidRDefault="00FD153B" w:rsidP="00812088">
      <w:pPr>
        <w:ind w:firstLine="709"/>
        <w:contextualSpacing/>
        <w:jc w:val="both"/>
        <w:rPr>
          <w:b/>
        </w:rPr>
      </w:pPr>
      <w:r>
        <w:rPr>
          <w:b/>
        </w:rPr>
        <w:t>Лот № 2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>Предмет аукциона:</w:t>
      </w:r>
      <w:r w:rsidRPr="00AF3FD7">
        <w:t xml:space="preserve"> объект незавершенного строительства с кадастровым номером 74:36:0000000:45848 площадью застройки 18 кв. м со степенью готовности объекта 20 %, расположенный по адресу (местоположение): Челябинская область, </w:t>
      </w:r>
      <w:proofErr w:type="gramStart"/>
      <w:r w:rsidRPr="00AF3FD7">
        <w:t>г</w:t>
      </w:r>
      <w:proofErr w:type="gramEnd"/>
      <w:r w:rsidRPr="00AF3FD7">
        <w:t xml:space="preserve">. Челябинск, </w:t>
      </w:r>
      <w:r w:rsidR="00C9059A" w:rsidRPr="00AF3FD7">
        <w:br/>
      </w:r>
      <w:r w:rsidRPr="00AF3FD7">
        <w:t>р-н Курчатовский, ул. Автодорожная.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 xml:space="preserve">Ограничение прав и обременение объекта недвижимости: </w:t>
      </w:r>
      <w:r w:rsidRPr="00AF3FD7">
        <w:t>не зарегистрировано.</w:t>
      </w:r>
    </w:p>
    <w:p w:rsidR="00812088" w:rsidRPr="00AF3FD7" w:rsidRDefault="00812088" w:rsidP="00812088">
      <w:pPr>
        <w:ind w:firstLine="709"/>
        <w:contextualSpacing/>
        <w:jc w:val="both"/>
        <w:rPr>
          <w:b/>
        </w:rPr>
      </w:pPr>
      <w:r w:rsidRPr="00AF3FD7">
        <w:rPr>
          <w:b/>
        </w:rPr>
        <w:t>Начальная цена предмета аукциона составляет</w:t>
      </w:r>
      <w:r w:rsidRPr="00AF3FD7">
        <w:t xml:space="preserve"> </w:t>
      </w:r>
      <w:r w:rsidR="00B82DE2" w:rsidRPr="00610F08">
        <w:t>93 200,00</w:t>
      </w:r>
      <w:r w:rsidR="00B82DE2" w:rsidRPr="00AF3FD7">
        <w:t xml:space="preserve"> (девяносто три тысячи двести) рублей 00 копеек </w:t>
      </w:r>
      <w:r w:rsidRPr="00AF3FD7">
        <w:t>в т.ч. НДС 20%. (согласно отчету об оценке).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 xml:space="preserve">Задаток для участия в аукционе в размере 20 % от начальной цены предмета аукциона: </w:t>
      </w:r>
      <w:r w:rsidR="00B82DE2" w:rsidRPr="00AF3FD7">
        <w:t>18 640,00</w:t>
      </w:r>
      <w:r w:rsidRPr="00AF3FD7">
        <w:t xml:space="preserve"> </w:t>
      </w:r>
      <w:r w:rsidR="00B82DE2" w:rsidRPr="00AF3FD7">
        <w:t>(восемнадцать тысяч шестьсот сорок) рублей 00 копеек</w:t>
      </w:r>
      <w:r w:rsidRPr="00AF3FD7">
        <w:t>.</w:t>
      </w:r>
    </w:p>
    <w:p w:rsidR="00812088" w:rsidRPr="005123EE" w:rsidRDefault="00812088" w:rsidP="00812088">
      <w:pPr>
        <w:autoSpaceDE w:val="0"/>
        <w:autoSpaceDN w:val="0"/>
        <w:adjustRightInd w:val="0"/>
        <w:ind w:firstLine="709"/>
        <w:contextualSpacing/>
        <w:jc w:val="both"/>
      </w:pPr>
      <w:r w:rsidRPr="00AF3FD7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AF3FD7">
        <w:t xml:space="preserve"> и составляет </w:t>
      </w:r>
      <w:r w:rsidR="00862980" w:rsidRPr="00AF3FD7">
        <w:t>932,00</w:t>
      </w:r>
      <w:r w:rsidRPr="00AF3FD7">
        <w:t xml:space="preserve"> </w:t>
      </w:r>
      <w:r w:rsidR="00862980" w:rsidRPr="00AF3FD7">
        <w:t>(девятьсот тридцать два) рубля 00 копеек</w:t>
      </w:r>
      <w:r w:rsidRPr="00AF3FD7">
        <w:t>.</w:t>
      </w:r>
    </w:p>
    <w:p w:rsidR="00812088" w:rsidRDefault="00812088" w:rsidP="00812088">
      <w:pPr>
        <w:ind w:firstLine="709"/>
        <w:contextualSpacing/>
        <w:jc w:val="both"/>
        <w:rPr>
          <w:b/>
        </w:rPr>
      </w:pPr>
    </w:p>
    <w:p w:rsidR="00812088" w:rsidRDefault="00812088" w:rsidP="007079E7">
      <w:pPr>
        <w:contextualSpacing/>
        <w:jc w:val="both"/>
        <w:rPr>
          <w:b/>
        </w:rPr>
      </w:pP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</w:t>
      </w:r>
      <w:r w:rsidR="00812088">
        <w:rPr>
          <w:b/>
        </w:rPr>
        <w:t>ы</w:t>
      </w:r>
      <w:r w:rsidR="00B40D26" w:rsidRPr="00B40D26">
        <w:rPr>
          <w:b/>
        </w:rPr>
        <w:t xml:space="preserve"> объект</w:t>
      </w:r>
      <w:r w:rsidR="00812088">
        <w:rPr>
          <w:b/>
        </w:rPr>
        <w:t>ы</w:t>
      </w:r>
      <w:r w:rsidR="00B40D26" w:rsidRPr="00B40D26">
        <w:rPr>
          <w:b/>
        </w:rPr>
        <w:t xml:space="preserve"> незавершенного строительства</w:t>
      </w:r>
      <w:r w:rsidR="00F951A2">
        <w:rPr>
          <w:b/>
        </w:rPr>
        <w:t>.</w:t>
      </w:r>
    </w:p>
    <w:p w:rsidR="00F35557" w:rsidRPr="005D0FA2" w:rsidRDefault="00672A9F" w:rsidP="008D0898">
      <w:pPr>
        <w:ind w:firstLine="709"/>
        <w:contextualSpacing/>
        <w:jc w:val="both"/>
      </w:pPr>
      <w:r w:rsidRPr="00672A9F">
        <w:t xml:space="preserve">Объекты незавершенного строительства расположены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="00F35557" w:rsidRPr="004C3F10">
        <w:t xml:space="preserve"> </w:t>
      </w:r>
      <w:r w:rsidR="00710E72">
        <w:t xml:space="preserve">площадью </w:t>
      </w:r>
      <w:r w:rsidR="008D0898" w:rsidRPr="008D0898">
        <w:t>17540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="00F35557" w:rsidRPr="004C3F10">
        <w:t xml:space="preserve"> номером </w:t>
      </w:r>
      <w:r w:rsidR="008D0898" w:rsidRPr="008D0898">
        <w:t>74:36:0000000:1273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8D0898">
        <w:lastRenderedPageBreak/>
        <w:t xml:space="preserve">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8D0898">
        <w:t>г</w:t>
      </w:r>
      <w:proofErr w:type="gramEnd"/>
      <w:r w:rsidR="008D0898">
        <w:t>. Челябинск, Курчатовский, ул. Автодорожная.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D0898" w:rsidRPr="008D0898">
        <w:t xml:space="preserve">Для размещения </w:t>
      </w:r>
      <w:proofErr w:type="spellStart"/>
      <w:r w:rsidR="008D0898" w:rsidRPr="008D0898">
        <w:t>автомоечного</w:t>
      </w:r>
      <w:proofErr w:type="spellEnd"/>
      <w:r w:rsidR="008D0898" w:rsidRPr="008D0898">
        <w:t xml:space="preserve"> комплекса</w:t>
      </w:r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135270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CD708B">
        <w:t>, в границах который расположен земельный участок отсутствует</w:t>
      </w:r>
      <w:r>
        <w:t>.</w:t>
      </w:r>
    </w:p>
    <w:p w:rsidR="00CD708B" w:rsidRPr="004D1799" w:rsidRDefault="00B40D26" w:rsidP="004D1799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CD708B" w:rsidRPr="008D0898">
        <w:t>74:36:0000000:1273</w:t>
      </w:r>
      <w:r w:rsidR="00CD708B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CD708B">
        <w:t>07 18 13</w:t>
      </w:r>
      <w:r w:rsidR="00135270">
        <w:t xml:space="preserve"> </w:t>
      </w:r>
      <w:bookmarkStart w:id="0" w:name="Par0"/>
      <w:bookmarkEnd w:id="0"/>
      <w:r w:rsidR="00CD708B" w:rsidRPr="00CD708B">
        <w:rPr>
          <w:rFonts w:eastAsiaTheme="minorHAnsi"/>
          <w:b/>
          <w:bCs/>
          <w:lang w:eastAsia="en-US"/>
        </w:rPr>
        <w:t>Г.3 зоны производственно-коммерческой деятельности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D708B">
        <w:rPr>
          <w:rFonts w:eastAsiaTheme="minorHAnsi"/>
          <w:bCs/>
          <w:lang w:eastAsia="en-US"/>
        </w:rPr>
        <w:t>Зоны объектов производственно-коммерческой деятельности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 и ниже,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деятельность, а также для размещения предприятий, не требующих установления санитарно-защитных зон.</w:t>
      </w:r>
      <w:proofErr w:type="gramEnd"/>
      <w:r w:rsidRPr="00CD708B">
        <w:rPr>
          <w:rFonts w:eastAsiaTheme="minorHAnsi"/>
          <w:bCs/>
          <w:lang w:eastAsia="en-US"/>
        </w:rPr>
        <w:t xml:space="preserve">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производственная деятельность </w:t>
      </w:r>
      <w:hyperlink r:id="rId15" w:history="1">
        <w:r w:rsidRPr="00CD708B">
          <w:rPr>
            <w:rFonts w:eastAsiaTheme="minorHAnsi"/>
            <w:bCs/>
            <w:color w:val="0000FF"/>
            <w:lang w:eastAsia="en-US"/>
          </w:rPr>
          <w:t>(6.0)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склады </w:t>
      </w:r>
      <w:hyperlink r:id="rId16" w:history="1">
        <w:r w:rsidRPr="00CD708B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складские площадки </w:t>
      </w:r>
      <w:hyperlink r:id="rId17" w:history="1">
        <w:r w:rsidRPr="00CD708B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служебные гаражи </w:t>
      </w:r>
      <w:hyperlink r:id="rId18" w:history="1">
        <w:r w:rsidRPr="00CD708B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9" w:history="1">
        <w:r w:rsidRPr="00CD708B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магазины </w:t>
      </w:r>
      <w:hyperlink r:id="rId20" w:history="1">
        <w:r w:rsidRPr="00CD708B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1" w:history="1">
        <w:r w:rsidRPr="00CD708B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автомобильные мойки </w:t>
      </w:r>
      <w:hyperlink r:id="rId22" w:history="1">
        <w:r w:rsidRPr="00CD708B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ремонт автомобилей </w:t>
      </w:r>
      <w:hyperlink r:id="rId23" w:history="1">
        <w:r w:rsidRPr="00CD708B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питание </w:t>
      </w:r>
      <w:hyperlink r:id="rId24" w:history="1">
        <w:r w:rsidRPr="00CD708B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управление </w:t>
      </w:r>
      <w:hyperlink r:id="rId25" w:history="1">
        <w:r w:rsidRPr="00CD708B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бытовое обслуживание </w:t>
      </w:r>
      <w:hyperlink r:id="rId26" w:history="1">
        <w:r w:rsidRPr="00CD708B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деловое управление </w:t>
      </w:r>
      <w:hyperlink r:id="rId27" w:history="1">
        <w:r w:rsidRPr="00CD708B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28" w:history="1">
        <w:r w:rsidRPr="00CD708B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9" w:history="1">
        <w:r w:rsidRPr="00CD708B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30" w:history="1">
        <w:r w:rsidRPr="00CD708B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31" w:history="1">
        <w:r w:rsidRPr="00CD708B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CD708B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CD708B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CD708B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5" w:history="1">
        <w:r w:rsidRPr="00CD708B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связь </w:t>
      </w:r>
      <w:hyperlink r:id="rId36" w:history="1">
        <w:r w:rsidRPr="00CD708B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оказание услуг связи </w:t>
      </w:r>
      <w:hyperlink r:id="rId37" w:history="1">
        <w:r w:rsidRPr="00CD708B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8" w:history="1">
        <w:r w:rsidRPr="00CD708B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39" w:history="1">
        <w:r w:rsidRPr="00CD708B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(абзац второй в ред. </w:t>
      </w:r>
      <w:hyperlink r:id="rId40" w:history="1">
        <w:r w:rsidRPr="00CD708B">
          <w:rPr>
            <w:rFonts w:eastAsiaTheme="minorHAnsi"/>
            <w:bCs/>
            <w:color w:val="0000FF"/>
            <w:lang w:eastAsia="en-US"/>
          </w:rPr>
          <w:t>Решения</w:t>
        </w:r>
      </w:hyperlink>
      <w:r w:rsidRPr="00CD708B">
        <w:rPr>
          <w:rFonts w:eastAsiaTheme="minorHAnsi"/>
          <w:bCs/>
          <w:lang w:eastAsia="en-US"/>
        </w:rPr>
        <w:t xml:space="preserve"> Челябинской городской Думы от 29.09.2020 N 12/15)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lastRenderedPageBreak/>
        <w:t>Вспомогательные виды разрешенного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улично-дорожная сеть </w:t>
      </w:r>
      <w:hyperlink r:id="rId41" w:history="1">
        <w:r w:rsidRPr="00CD708B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2" w:history="1">
        <w:r w:rsidRPr="00CD708B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гостиничное обслуживание </w:t>
      </w:r>
      <w:hyperlink r:id="rId43" w:history="1">
        <w:r w:rsidRPr="00CD708B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общежития </w:t>
      </w:r>
      <w:hyperlink r:id="rId44" w:history="1">
        <w:r w:rsidRPr="00CD708B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амбулаторное ветеринарное обслуживание </w:t>
      </w:r>
      <w:hyperlink r:id="rId45" w:history="1">
        <w:r w:rsidRPr="00CD708B">
          <w:rPr>
            <w:rFonts w:eastAsiaTheme="minorHAnsi"/>
            <w:bCs/>
            <w:color w:val="0000FF"/>
            <w:lang w:eastAsia="en-US"/>
          </w:rPr>
          <w:t>(3.10.1)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приюты для животных </w:t>
      </w:r>
      <w:hyperlink r:id="rId46" w:history="1">
        <w:r w:rsidRPr="00CD708B">
          <w:rPr>
            <w:rFonts w:eastAsiaTheme="minorHAnsi"/>
            <w:bCs/>
            <w:color w:val="0000FF"/>
            <w:lang w:eastAsia="en-US"/>
          </w:rPr>
          <w:t>(3.10.2)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47" w:history="1">
        <w:r w:rsidRPr="00CD708B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D708B" w:rsidRPr="00CD708B" w:rsidRDefault="00CD708B" w:rsidP="00CD70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CD708B" w:rsidRPr="00CD708B" w:rsidRDefault="00CD708B" w:rsidP="00CD708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CD708B" w:rsidRPr="00CD708B" w:rsidRDefault="00CD708B" w:rsidP="00CD708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701"/>
        <w:gridCol w:w="1559"/>
        <w:gridCol w:w="1701"/>
        <w:gridCol w:w="1276"/>
        <w:gridCol w:w="1134"/>
      </w:tblGrid>
      <w:tr w:rsidR="00CD708B" w:rsidRPr="00CD708B" w:rsidTr="00CD70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CD708B" w:rsidRPr="00CD708B" w:rsidTr="00CD70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48" w:history="1">
              <w:r w:rsidRPr="00CD708B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зоны Г.1.1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0,3 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0,6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 xml:space="preserve">Примечание: зона производственно-коммерческой деятельности </w:t>
      </w:r>
      <w:hyperlink w:anchor="Par0" w:history="1">
        <w:r w:rsidRPr="00CD708B">
          <w:rPr>
            <w:rFonts w:eastAsiaTheme="minorHAnsi"/>
            <w:bCs/>
            <w:color w:val="0000FF"/>
            <w:sz w:val="20"/>
            <w:szCs w:val="20"/>
            <w:lang w:eastAsia="en-US"/>
          </w:rPr>
          <w:t>(Г.3)</w:t>
        </w:r>
      </w:hyperlink>
      <w:r w:rsidRPr="00CD708B">
        <w:rPr>
          <w:rFonts w:eastAsiaTheme="minorHAnsi"/>
          <w:bCs/>
          <w:sz w:val="20"/>
          <w:szCs w:val="20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1,8.</w:t>
      </w:r>
    </w:p>
    <w:p w:rsidR="00F625C8" w:rsidRDefault="00F625C8" w:rsidP="009957A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79E7">
        <w:rPr>
          <w:b/>
          <w:bCs/>
        </w:rPr>
        <w:t>Ограничения использования земельного участка:</w:t>
      </w:r>
      <w:r w:rsidR="00C002D1" w:rsidRPr="007079E7">
        <w:rPr>
          <w:b/>
          <w:bCs/>
        </w:rPr>
        <w:t xml:space="preserve"> </w:t>
      </w:r>
      <w:r w:rsidR="00B76393" w:rsidRPr="007079E7">
        <w:rPr>
          <w:bCs/>
        </w:rPr>
        <w:t xml:space="preserve">земельный участок расположен </w:t>
      </w:r>
      <w:r w:rsidR="00DA2C37" w:rsidRPr="007079E7">
        <w:rPr>
          <w:bCs/>
        </w:rPr>
        <w:br/>
      </w:r>
      <w:r w:rsidR="00B76393" w:rsidRPr="007079E7">
        <w:rPr>
          <w:bCs/>
        </w:rPr>
        <w:t>в зонах</w:t>
      </w:r>
      <w:r w:rsidR="007E0167" w:rsidRPr="007079E7">
        <w:rPr>
          <w:bCs/>
        </w:rPr>
        <w:t xml:space="preserve"> с особыми условиями испо</w:t>
      </w:r>
      <w:r w:rsidR="00B76393" w:rsidRPr="007079E7">
        <w:rPr>
          <w:bCs/>
        </w:rPr>
        <w:t>льзования территории: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</w:t>
      </w:r>
      <w:r w:rsidRPr="00180066">
        <w:rPr>
          <w:rFonts w:cs="Times New Roman"/>
          <w:bCs/>
          <w:lang w:val="ru-RU"/>
        </w:rPr>
        <w:t>74:00-6.759</w:t>
      </w:r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 xml:space="preserve">Четвертая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="007C3F08" w:rsidRPr="007C3F08">
        <w:rPr>
          <w:rFonts w:cs="Times New Roman"/>
          <w:bCs/>
          <w:lang w:val="ru-RU"/>
        </w:rPr>
        <w:t>ии аэ</w:t>
      </w:r>
      <w:proofErr w:type="gramEnd"/>
      <w:r w:rsidR="007C3F08" w:rsidRPr="007C3F08">
        <w:rPr>
          <w:rFonts w:cs="Times New Roman"/>
          <w:bCs/>
          <w:lang w:val="ru-RU"/>
        </w:rPr>
        <w:t>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74:00-6.760</w:t>
      </w:r>
      <w:proofErr w:type="gramStart"/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>П</w:t>
      </w:r>
      <w:proofErr w:type="gramEnd"/>
      <w:r w:rsidR="007C3F08" w:rsidRPr="007C3F08">
        <w:rPr>
          <w:rFonts w:cs="Times New Roman"/>
          <w:bCs/>
          <w:lang w:val="ru-RU"/>
        </w:rPr>
        <w:t xml:space="preserve">ятая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74:00-6.767</w:t>
      </w:r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 xml:space="preserve">Шестая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="007C3F08" w:rsidRPr="007C3F08">
        <w:rPr>
          <w:rFonts w:cs="Times New Roman"/>
          <w:bCs/>
          <w:lang w:val="ru-RU"/>
        </w:rPr>
        <w:t xml:space="preserve">ии </w:t>
      </w:r>
      <w:r w:rsidR="007C3F08">
        <w:rPr>
          <w:rFonts w:cs="Times New Roman"/>
          <w:bCs/>
          <w:lang w:val="ru-RU"/>
        </w:rPr>
        <w:t>аэ</w:t>
      </w:r>
      <w:proofErr w:type="gramEnd"/>
      <w:r w:rsidR="007C3F08">
        <w:rPr>
          <w:rFonts w:cs="Times New Roman"/>
          <w:bCs/>
          <w:lang w:val="ru-RU"/>
        </w:rPr>
        <w:t>родрома Челябинск (</w:t>
      </w:r>
      <w:proofErr w:type="spellStart"/>
      <w:r w:rsidR="007C3F08">
        <w:rPr>
          <w:rFonts w:cs="Times New Roman"/>
          <w:bCs/>
          <w:lang w:val="ru-RU"/>
        </w:rPr>
        <w:t>Баландино</w:t>
      </w:r>
      <w:proofErr w:type="spellEnd"/>
      <w:r w:rsidR="007C3F08">
        <w:rPr>
          <w:rFonts w:cs="Times New Roman"/>
          <w:bCs/>
          <w:lang w:val="ru-RU"/>
        </w:rPr>
        <w:t>)</w:t>
      </w:r>
    </w:p>
    <w:p w:rsidR="00180066" w:rsidRPr="00FD153B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74:36-6.6868</w:t>
      </w:r>
      <w:proofErr w:type="gramStart"/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>Т</w:t>
      </w:r>
      <w:proofErr w:type="gramEnd"/>
      <w:r w:rsidR="007C3F08" w:rsidRPr="007C3F08">
        <w:rPr>
          <w:rFonts w:cs="Times New Roman"/>
          <w:bCs/>
          <w:lang w:val="ru-RU"/>
        </w:rPr>
        <w:t xml:space="preserve">ретья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DA2C37" w:rsidRPr="002C6106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2B5F02">
        <w:rPr>
          <w:rFonts w:cs="Times New Roman"/>
          <w:bCs/>
          <w:lang w:val="ru-RU"/>
        </w:rPr>
        <w:t xml:space="preserve">Ограничения </w:t>
      </w:r>
      <w:r w:rsidR="00926ED5" w:rsidRPr="002B5F02">
        <w:rPr>
          <w:rFonts w:cs="Times New Roman"/>
          <w:bCs/>
          <w:lang w:val="ru-RU"/>
        </w:rPr>
        <w:t xml:space="preserve"> в отношении каждой зоны указаны </w:t>
      </w:r>
      <w:r w:rsidR="00926ED5" w:rsidRPr="002B5F02">
        <w:t xml:space="preserve">в </w:t>
      </w:r>
      <w:proofErr w:type="spellStart"/>
      <w:r w:rsidR="00926ED5" w:rsidRPr="002B5F02">
        <w:t>публичной</w:t>
      </w:r>
      <w:proofErr w:type="spellEnd"/>
      <w:r w:rsidR="00926ED5" w:rsidRPr="002B5F02">
        <w:t xml:space="preserve"> </w:t>
      </w:r>
      <w:proofErr w:type="spellStart"/>
      <w:r w:rsidR="00926ED5" w:rsidRPr="002B5F02">
        <w:t>кадастровой</w:t>
      </w:r>
      <w:proofErr w:type="spellEnd"/>
      <w:r w:rsidR="00926ED5" w:rsidRPr="002B5F02">
        <w:t xml:space="preserve"> </w:t>
      </w:r>
      <w:proofErr w:type="spellStart"/>
      <w:r w:rsidR="00926ED5" w:rsidRPr="002B5F02">
        <w:t>карте</w:t>
      </w:r>
      <w:proofErr w:type="spellEnd"/>
      <w:r w:rsidR="00926ED5" w:rsidRPr="002B5F02">
        <w:t xml:space="preserve"> </w:t>
      </w:r>
      <w:proofErr w:type="spellStart"/>
      <w:r w:rsidR="00926ED5" w:rsidRPr="002B5F02">
        <w:t>на</w:t>
      </w:r>
      <w:proofErr w:type="spellEnd"/>
      <w:r w:rsidR="00926ED5" w:rsidRPr="002B5F02">
        <w:t xml:space="preserve"> </w:t>
      </w:r>
      <w:proofErr w:type="spellStart"/>
      <w:r w:rsidR="00926ED5" w:rsidRPr="002B5F02">
        <w:t>интернет-сайте</w:t>
      </w:r>
      <w:proofErr w:type="spellEnd"/>
      <w:r w:rsidR="00926ED5" w:rsidRPr="002B5F02">
        <w:t xml:space="preserve"> </w:t>
      </w:r>
      <w:r w:rsidR="00926ED5" w:rsidRPr="002B5F02">
        <w:rPr>
          <w:rStyle w:val="HTML"/>
        </w:rPr>
        <w:t>https://pkk.rosreestr.ru/</w:t>
      </w:r>
      <w:r w:rsidR="002C6106" w:rsidRPr="002B5F02">
        <w:rPr>
          <w:rStyle w:val="HTML"/>
          <w:lang w:val="ru-RU"/>
        </w:rPr>
        <w:t>.</w:t>
      </w:r>
    </w:p>
    <w:p w:rsidR="006937F0" w:rsidRDefault="006937F0" w:rsidP="006937F0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кладбища.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lastRenderedPageBreak/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4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1D5E21" w:rsidRDefault="001D5E21" w:rsidP="001D5E21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1D5E21" w:rsidRDefault="001D5E21" w:rsidP="001D5E21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D5E21" w:rsidRDefault="001D5E21" w:rsidP="001D5E21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D5E21" w:rsidRDefault="001D5E21" w:rsidP="001D5E21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D5E21" w:rsidRDefault="001D5E21" w:rsidP="001D5E21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lastRenderedPageBreak/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lastRenderedPageBreak/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</w:t>
      </w:r>
      <w:r w:rsidR="007A7862">
        <w:t>ы договоров</w:t>
      </w:r>
      <w:r w:rsidR="004D504D" w:rsidRPr="00DD1AC9">
        <w:t xml:space="preserve"> купли-продажи</w:t>
      </w:r>
      <w:r w:rsidR="004D504D" w:rsidRPr="00DD1AC9">
        <w:rPr>
          <w:b/>
        </w:rPr>
        <w:t xml:space="preserve"> </w:t>
      </w:r>
      <w:r w:rsidR="007A7862">
        <w:t>объектов</w:t>
      </w:r>
      <w:r w:rsidR="004D504D" w:rsidRPr="00DD1AC9">
        <w:t xml:space="preserve">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A6613C" w:rsidRPr="00A6613C">
        <w:t xml:space="preserve"> прошу принять настоящую заявку на участие в аукционе.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6613C">
      <w:headerReference w:type="default" r:id="rId57"/>
      <w:footerReference w:type="first" r:id="rId58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D7" w:rsidRDefault="00AF3FD7" w:rsidP="00575180">
      <w:r>
        <w:separator/>
      </w:r>
    </w:p>
  </w:endnote>
  <w:endnote w:type="continuationSeparator" w:id="0">
    <w:p w:rsidR="00AF3FD7" w:rsidRDefault="00AF3FD7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7" w:rsidRDefault="00AF3FD7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D7" w:rsidRDefault="00AF3FD7" w:rsidP="00575180">
      <w:r>
        <w:separator/>
      </w:r>
    </w:p>
  </w:footnote>
  <w:footnote w:type="continuationSeparator" w:id="0">
    <w:p w:rsidR="00AF3FD7" w:rsidRDefault="00AF3FD7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AF3FD7" w:rsidRDefault="007E2242">
        <w:pPr>
          <w:pStyle w:val="af0"/>
          <w:jc w:val="center"/>
        </w:pPr>
        <w:fldSimple w:instr=" PAGE   \* MERGEFORMAT ">
          <w:r w:rsidR="007C2AD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AC3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2B5B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117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066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5E21"/>
    <w:rsid w:val="001D7278"/>
    <w:rsid w:val="001D75C4"/>
    <w:rsid w:val="001E066A"/>
    <w:rsid w:val="001E0E3B"/>
    <w:rsid w:val="001E1FC7"/>
    <w:rsid w:val="001E283D"/>
    <w:rsid w:val="001E36C9"/>
    <w:rsid w:val="001E78F3"/>
    <w:rsid w:val="001E7D34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0771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175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06E"/>
    <w:rsid w:val="002A7A2B"/>
    <w:rsid w:val="002B2637"/>
    <w:rsid w:val="002B4298"/>
    <w:rsid w:val="002B5F02"/>
    <w:rsid w:val="002B670C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E5D0A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282C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2DB7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79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8DA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B719A"/>
    <w:rsid w:val="005C0AEB"/>
    <w:rsid w:val="005C31AA"/>
    <w:rsid w:val="005C466E"/>
    <w:rsid w:val="005C5E41"/>
    <w:rsid w:val="005C7C97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08"/>
    <w:rsid w:val="00610FE1"/>
    <w:rsid w:val="00615C2F"/>
    <w:rsid w:val="00616319"/>
    <w:rsid w:val="006170C7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475EB"/>
    <w:rsid w:val="00651950"/>
    <w:rsid w:val="006529F8"/>
    <w:rsid w:val="00660F12"/>
    <w:rsid w:val="00661702"/>
    <w:rsid w:val="00662671"/>
    <w:rsid w:val="006647AE"/>
    <w:rsid w:val="006709AD"/>
    <w:rsid w:val="00671A25"/>
    <w:rsid w:val="00672A9F"/>
    <w:rsid w:val="0067324D"/>
    <w:rsid w:val="00673440"/>
    <w:rsid w:val="00680468"/>
    <w:rsid w:val="006811ED"/>
    <w:rsid w:val="00683881"/>
    <w:rsid w:val="006850B6"/>
    <w:rsid w:val="006905F1"/>
    <w:rsid w:val="006937F0"/>
    <w:rsid w:val="006A0256"/>
    <w:rsid w:val="006A23C5"/>
    <w:rsid w:val="006A48F1"/>
    <w:rsid w:val="006A72D3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659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079E7"/>
    <w:rsid w:val="00710E72"/>
    <w:rsid w:val="00711A0E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A7862"/>
    <w:rsid w:val="007B07FF"/>
    <w:rsid w:val="007B1686"/>
    <w:rsid w:val="007B1EC4"/>
    <w:rsid w:val="007B43B6"/>
    <w:rsid w:val="007B5971"/>
    <w:rsid w:val="007C0AFE"/>
    <w:rsid w:val="007C2AD5"/>
    <w:rsid w:val="007C2D55"/>
    <w:rsid w:val="007C3F08"/>
    <w:rsid w:val="007D43D4"/>
    <w:rsid w:val="007D4916"/>
    <w:rsid w:val="007D6A67"/>
    <w:rsid w:val="007E0167"/>
    <w:rsid w:val="007E2242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088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26750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2980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A57AC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0898"/>
    <w:rsid w:val="008D6933"/>
    <w:rsid w:val="008E2180"/>
    <w:rsid w:val="008E4A79"/>
    <w:rsid w:val="008E54E5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957A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37EA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783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0A0"/>
    <w:rsid w:val="00A62BBA"/>
    <w:rsid w:val="00A62C88"/>
    <w:rsid w:val="00A634AF"/>
    <w:rsid w:val="00A64825"/>
    <w:rsid w:val="00A66083"/>
    <w:rsid w:val="00A6613C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CFA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3FD7"/>
    <w:rsid w:val="00AF56F5"/>
    <w:rsid w:val="00AF7C30"/>
    <w:rsid w:val="00B00365"/>
    <w:rsid w:val="00B00681"/>
    <w:rsid w:val="00B00983"/>
    <w:rsid w:val="00B014F1"/>
    <w:rsid w:val="00B05604"/>
    <w:rsid w:val="00B070ED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2DE2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77F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3AA"/>
    <w:rsid w:val="00C9059A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2AB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D708B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553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0024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269B"/>
    <w:rsid w:val="00D87AAD"/>
    <w:rsid w:val="00D87BD1"/>
    <w:rsid w:val="00D91022"/>
    <w:rsid w:val="00D912DF"/>
    <w:rsid w:val="00D9208E"/>
    <w:rsid w:val="00D932A9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6C04"/>
    <w:rsid w:val="00E97536"/>
    <w:rsid w:val="00E97731"/>
    <w:rsid w:val="00EA1214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46AC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7CD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153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AEF"/>
            <w:right w:val="none" w:sz="0" w:space="0" w:color="auto"/>
          </w:divBdr>
          <w:divsChild>
            <w:div w:id="1679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679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5828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89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1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981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541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662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9658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7144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7580295881814B926E5210A40BE7CFB25C699DE6054992300CEBB6A767B79A395046B16E05BFE8774BAFB3599D40F56EB54B36406kBk4E" TargetMode="External"/><Relationship Id="rId26" Type="http://schemas.openxmlformats.org/officeDocument/2006/relationships/hyperlink" Target="consultantplus://offline/ref=77580295881814B926E5210A40BE7CFB25C699DE6054992300CEBB6A767B79A395046B15E45AF4D225F5FA69DC801C57EF54B1611AB4C3CFk9k8E" TargetMode="External"/><Relationship Id="rId39" Type="http://schemas.openxmlformats.org/officeDocument/2006/relationships/hyperlink" Target="consultantplus://offline/ref=77580295881814B926E5210A40BE7CFB25C699DE6054992300CEBB6A767B79A395046B16EC53FE8774BAFB3599D40F56EB54B36406kBk4E" TargetMode="External"/><Relationship Id="rId21" Type="http://schemas.openxmlformats.org/officeDocument/2006/relationships/hyperlink" Target="consultantplus://offline/ref=77580295881814B926E5210A40BE7CFB25C699DE6054992300CEBB6A767B79A395046B10E451A18261ABA33999CB1153F048B166k0k6E" TargetMode="External"/><Relationship Id="rId34" Type="http://schemas.openxmlformats.org/officeDocument/2006/relationships/hyperlink" Target="consultantplus://offline/ref=77580295881814B926E5210A40BE7CFB25C699DE6054992300CEBB6A767B79A395046B15E35FFE8774BAFB3599D40F56EB54B36406kBk4E" TargetMode="External"/><Relationship Id="rId42" Type="http://schemas.openxmlformats.org/officeDocument/2006/relationships/hyperlink" Target="consultantplus://offline/ref=77580295881814B926E5210A40BE7CFB25C699DE6054992300CEBB6A767B79A395046B16E453FE8774BAFB3599D40F56EB54B36406kBk4E" TargetMode="External"/><Relationship Id="rId47" Type="http://schemas.openxmlformats.org/officeDocument/2006/relationships/hyperlink" Target="consultantplus://offline/ref=77580295881814B926E5210A40BE7CFB25C699DE6054992300CEBB6A767B79A395046B16E05DFE8774BAFB3599D40F56EB54B36406kBk4E" TargetMode="External"/><Relationship Id="rId50" Type="http://schemas.openxmlformats.org/officeDocument/2006/relationships/hyperlink" Target="http://utp.sberbank-ast.ru/AP/Notice/652/Instructions" TargetMode="External"/><Relationship Id="rId55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7580295881814B926E5210A40BE7CFB25C699DE6054992300CEBB6A767B79A395046B16EC5CFE8774BAFB3599D40F56EB54B36406kBk4E" TargetMode="External"/><Relationship Id="rId25" Type="http://schemas.openxmlformats.org/officeDocument/2006/relationships/hyperlink" Target="consultantplus://offline/ref=77580295881814B926E5210A40BE7CFB25C699DE6054992300CEBB6A767B79A395046B15E45AF4D120F5FA69DC801C57EF54B1611AB4C3CFk9k8E" TargetMode="External"/><Relationship Id="rId33" Type="http://schemas.openxmlformats.org/officeDocument/2006/relationships/hyperlink" Target="consultantplus://offline/ref=77580295881814B926E5210A40BE7CFB25C699DE6054992300CEBB6A767B79A395046B15E358FE8774BAFB3599D40F56EB54B36406kBk4E" TargetMode="External"/><Relationship Id="rId38" Type="http://schemas.openxmlformats.org/officeDocument/2006/relationships/hyperlink" Target="consultantplus://offline/ref=77580295881814B926E5210A40BE7CFB25C699DE6054992300CEBB6A767B79A395046B10E151A18261ABA33999CB1153F048B166k0k6E" TargetMode="External"/><Relationship Id="rId46" Type="http://schemas.openxmlformats.org/officeDocument/2006/relationships/hyperlink" Target="consultantplus://offline/ref=77580295881814B926E5210A40BE7CFB25C699DE6054992300CEBB6A767B79A395046B11E051A18261ABA33999CB1153F048B166k0k6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80295881814B926E5210A40BE7CFB25C699DE6054992300CEBB6A767B79A395046B15E45AF7D32CF5FA69DC801C57EF54B1611AB4C3CFk9k8E" TargetMode="External"/><Relationship Id="rId20" Type="http://schemas.openxmlformats.org/officeDocument/2006/relationships/hyperlink" Target="consultantplus://offline/ref=77580295881814B926E5210A40BE7CFB25C699DE6054992300CEBB6A767B79A395046B15E45AF4D723F5FA69DC801C57EF54B1611AB4C3CFk9k8E" TargetMode="External"/><Relationship Id="rId29" Type="http://schemas.openxmlformats.org/officeDocument/2006/relationships/hyperlink" Target="consultantplus://offline/ref=77580295881814B926E5210A40BE7CFB25C699DE6054992300CEBB6A767B79A395046B15E45AF4D725F5FA69DC801C57EF54B1611AB4C3CFk9k8E" TargetMode="External"/><Relationship Id="rId41" Type="http://schemas.openxmlformats.org/officeDocument/2006/relationships/hyperlink" Target="consultantplus://offline/ref=77580295881814B926E5210A40BE7CFB25C699DE6054992300CEBB6A767B79A395046B17E553FE8774BAFB3599D40F56EB54B36406kBk4E" TargetMode="External"/><Relationship Id="rId5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7580295881814B926E5210A40BE7CFB25C699DE6054992300CEBB6A767B79A395046B15E45AF4D627F5FA69DC801C57EF54B1611AB4C3CFk9k8E" TargetMode="External"/><Relationship Id="rId32" Type="http://schemas.openxmlformats.org/officeDocument/2006/relationships/hyperlink" Target="consultantplus://offline/ref=77580295881814B926E5210A40BE7CFB25C699DE6054992300CEBB6A767B79A395046B16E551A18261ABA33999CB1153F048B166k0k6E" TargetMode="External"/><Relationship Id="rId37" Type="http://schemas.openxmlformats.org/officeDocument/2006/relationships/hyperlink" Target="consultantplus://offline/ref=77580295881814B926E5210A40BE7CFB25C699DE6054992300CEBB6A767B79A395046B15EC5FFE8774BAFB3599D40F56EB54B36406kBk4E" TargetMode="External"/><Relationship Id="rId40" Type="http://schemas.openxmlformats.org/officeDocument/2006/relationships/hyperlink" Target="consultantplus://offline/ref=77580295881814B926E53F0756D223F02FCFC6D0695A95765F9EBD3D292B7FF6D5446D40A71EF8D225FEAF389FDE4507AA1FBC6505A8C3C8848DC275k1k3E" TargetMode="External"/><Relationship Id="rId45" Type="http://schemas.openxmlformats.org/officeDocument/2006/relationships/hyperlink" Target="consultantplus://offline/ref=77580295881814B926E5210A40BE7CFB25C699DE6054992300CEBB6A767B79A395046B11E551A18261ABA33999CB1153F048B166k0k6E" TargetMode="External"/><Relationship Id="rId53" Type="http://schemas.openxmlformats.org/officeDocument/2006/relationships/hyperlink" Target="https://utp.sberbank-ast.ru/AP/Notice/1027/Instructions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80295881814B926E5210A40BE7CFB25C699DE6054992300CEBB6A767B79A395046B1CE651A18261ABA33999CB1153F048B166k0k6E" TargetMode="External"/><Relationship Id="rId23" Type="http://schemas.openxmlformats.org/officeDocument/2006/relationships/hyperlink" Target="consultantplus://offline/ref=77580295881814B926E5210A40BE7CFB25C699DE6054992300CEBB6A767B79A395046B16E15CFE8774BAFB3599D40F56EB54B36406kBk4E" TargetMode="External"/><Relationship Id="rId28" Type="http://schemas.openxmlformats.org/officeDocument/2006/relationships/hyperlink" Target="consultantplus://offline/ref=77580295881814B926E5210A40BE7CFB25C699DE6054992300CEBB6A767B79A395046B16E758FE8774BAFB3599D40F56EB54B36406kBk4E" TargetMode="External"/><Relationship Id="rId36" Type="http://schemas.openxmlformats.org/officeDocument/2006/relationships/hyperlink" Target="consultantplus://offline/ref=77580295881814B926E5210A40BE7CFB25C699DE6054992300CEBB6A767B79A395046B15E45AF7D323F5FA69DC801C57EF54B1611AB4C3CFk9k8E" TargetMode="External"/><Relationship Id="rId49" Type="http://schemas.openxmlformats.org/officeDocument/2006/relationships/hyperlink" Target="http://utp.sberbank-ast.ru/Main/Notice/988/Reglament" TargetMode="External"/><Relationship Id="rId57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7580295881814B926E5210A40BE7CFB25C699DE6054992300CEBB6A767B79A395046B15E45AF7D727F5FA69DC801C57EF54B1611AB4C3CFk9k8E" TargetMode="External"/><Relationship Id="rId31" Type="http://schemas.openxmlformats.org/officeDocument/2006/relationships/hyperlink" Target="consultantplus://offline/ref=77580295881814B926E5210A40BE7CFB25C699DE6054992300CEBB6A767B79A395046B16E25EFE8774BAFB3599D40F56EB54B36406kBk4E" TargetMode="External"/><Relationship Id="rId44" Type="http://schemas.openxmlformats.org/officeDocument/2006/relationships/hyperlink" Target="consultantplus://offline/ref=77580295881814B926E5210A40BE7CFB25C699DE6054992300CEBB6A767B79A395046B15EC52FE8774BAFB3599D40F56EB54B36406kBk4E" TargetMode="External"/><Relationship Id="rId52" Type="http://schemas.openxmlformats.org/officeDocument/2006/relationships/hyperlink" Target="https://utp.sberbank-ast.ru/AP/Notice/653/Requisites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7580295881814B926E5210A40BE7CFB25C699DE6054992300CEBB6A767B79A395046B16E159FE8774BAFB3599D40F56EB54B36406kBk4E" TargetMode="External"/><Relationship Id="rId27" Type="http://schemas.openxmlformats.org/officeDocument/2006/relationships/hyperlink" Target="consultantplus://offline/ref=77580295881814B926E5210A40BE7CFB25C699DE6054992300CEBB6A767B79A395046B11EC51A18261ABA33999CB1153F048B166k0k6E" TargetMode="External"/><Relationship Id="rId30" Type="http://schemas.openxmlformats.org/officeDocument/2006/relationships/hyperlink" Target="consultantplus://offline/ref=77580295881814B926E5210A40BE7CFB25C699DE6054992300CEBB6A767B79A395046B16E25BFE8774BAFB3599D40F56EB54B36406kBk4E" TargetMode="External"/><Relationship Id="rId35" Type="http://schemas.openxmlformats.org/officeDocument/2006/relationships/hyperlink" Target="consultantplus://offline/ref=77580295881814B926E5210A40BE7CFB25C699DE6054992300CEBB6A767B79A395046B17E658FE8774BAFB3599D40F56EB54B36406kBk4E" TargetMode="External"/><Relationship Id="rId43" Type="http://schemas.openxmlformats.org/officeDocument/2006/relationships/hyperlink" Target="consultantplus://offline/ref=77580295881814B926E5210A40BE7CFB25C699DE6054992300CEBB6A767B79A395046B15E45AF4D620F5FA69DC801C57EF54B1611AB4C3CFk9k8E" TargetMode="External"/><Relationship Id="rId48" Type="http://schemas.openxmlformats.org/officeDocument/2006/relationships/hyperlink" Target="consultantplus://offline/ref=77580295881814B926E53F0756D223F02FCFC6D0695497745C92BD3D292B7FF6D5446D40A71EF8D224F7AA3A9ADE4507AA1FBC6505A8C3C8848DC275k1k3E" TargetMode="External"/><Relationship Id="rId56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s://digital.gov.ru/ru/activity/govservices/certification_authorit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A03B-6474-4C5A-84E1-833DACF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12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550</cp:revision>
  <cp:lastPrinted>2022-04-28T04:48:00Z</cp:lastPrinted>
  <dcterms:created xsi:type="dcterms:W3CDTF">2021-05-27T05:43:00Z</dcterms:created>
  <dcterms:modified xsi:type="dcterms:W3CDTF">2022-07-06T10:20:00Z</dcterms:modified>
</cp:coreProperties>
</file>