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39C7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2039C7">
        <w:rPr>
          <w:rFonts w:ascii="Times New Roman" w:hAnsi="Times New Roman" w:cs="Times New Roman"/>
          <w:b/>
          <w:sz w:val="24"/>
          <w:szCs w:val="24"/>
        </w:rPr>
        <w:t>. Челябинск, Свердловский пр., 28 в Калининском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2039C7">
        <w:rPr>
          <w:rFonts w:ascii="Times New Roman" w:hAnsi="Times New Roman" w:cs="Times New Roman"/>
          <w:b/>
          <w:sz w:val="24"/>
          <w:szCs w:val="24"/>
        </w:rPr>
        <w:t xml:space="preserve">70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2039C7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2039C7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2039C7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2039C7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2039C7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2039C7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4,74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2039C7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89 552,43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2039C7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89 552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восемьдесят девять тысяч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пятьсот пятьдесят два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43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039C7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B91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2018-03-14T04:23:00Z</dcterms:modified>
</cp:coreProperties>
</file>