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B2D2D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DB2D2D">
        <w:rPr>
          <w:rFonts w:ascii="Times New Roman" w:hAnsi="Times New Roman" w:cs="Times New Roman"/>
          <w:b/>
          <w:sz w:val="24"/>
          <w:szCs w:val="24"/>
        </w:rPr>
        <w:t>. Челябинск, ул. Братьев Кашириных, ост. «Улица Солнечная» в Калининском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B2D2D">
        <w:rPr>
          <w:rFonts w:ascii="Times New Roman" w:hAnsi="Times New Roman" w:cs="Times New Roman"/>
          <w:b/>
          <w:sz w:val="24"/>
          <w:szCs w:val="24"/>
        </w:rPr>
        <w:t xml:space="preserve">95,27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B2D2D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DB2D2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95,27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DB2D2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DB2D2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DB2D2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DB2D2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4,74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DB2D2D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116 211,98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DB2D2D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116 211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сто шестнадцать тысяч двести одиннадцать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98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DA020C"/>
    <w:rsid w:val="00DB2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2018-07-11T10:02:00Z</dcterms:modified>
</cp:coreProperties>
</file>