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5C3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CD5C38">
        <w:rPr>
          <w:rFonts w:ascii="Times New Roman" w:hAnsi="Times New Roman" w:cs="Times New Roman"/>
          <w:b/>
          <w:sz w:val="24"/>
          <w:szCs w:val="24"/>
        </w:rPr>
        <w:t>. Челябинск, Комсомольский пр., 78-а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D5C38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D5C38">
        <w:rPr>
          <w:rFonts w:ascii="Times New Roman" w:hAnsi="Times New Roman" w:cs="Times New Roman"/>
          <w:b/>
          <w:sz w:val="24"/>
          <w:szCs w:val="24"/>
        </w:rPr>
        <w:t>киоск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CD5C3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CD5C3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CD5C3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CD5C3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CD5C3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CD5C38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7 481,59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CD5C38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7 481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семь тысяч четыреста восемьдесят один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55EB7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CD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2018-03-20T06:15:00Z</dcterms:modified>
</cp:coreProperties>
</file>