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7C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E17C2">
        <w:rPr>
          <w:rFonts w:ascii="Times New Roman" w:hAnsi="Times New Roman" w:cs="Times New Roman"/>
          <w:b/>
          <w:sz w:val="24"/>
          <w:szCs w:val="24"/>
        </w:rPr>
        <w:t xml:space="preserve">. Челябинск, пересечение </w:t>
      </w:r>
      <w:proofErr w:type="spellStart"/>
      <w:r w:rsidR="006E17C2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="006E17C2">
        <w:rPr>
          <w:rFonts w:ascii="Times New Roman" w:hAnsi="Times New Roman" w:cs="Times New Roman"/>
          <w:b/>
          <w:sz w:val="24"/>
          <w:szCs w:val="24"/>
        </w:rPr>
        <w:t>. Металлургов – ул. Калмыкова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E17C2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E17C2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E17C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E17C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E17C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E17C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E17C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E17C2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114 976,90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677823" w:rsidRDefault="006E17C2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114 976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сто четырнадцать тысяч девятьсот семьдесят шесть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90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6E17C2" w:rsidRDefault="006E17C2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6E17C2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509AD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2018-03-20T08:56:00Z</dcterms:modified>
</cp:coreProperties>
</file>