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37A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D37AC">
        <w:rPr>
          <w:rFonts w:ascii="Times New Roman" w:hAnsi="Times New Roman" w:cs="Times New Roman"/>
          <w:b/>
          <w:sz w:val="24"/>
          <w:szCs w:val="24"/>
        </w:rPr>
        <w:t>. Челябинск, ул. Братьев Кашириных, ост. «Улица Чайковского» в Калининском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D37AC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D37AC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D37A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D37A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D37A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D37A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D37A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4,74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D37A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89 552,43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D37A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89 552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девять тысяч пятьсот пятьдесят два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D37AC"/>
    <w:rsid w:val="00604C3F"/>
    <w:rsid w:val="00671C0A"/>
    <w:rsid w:val="00677823"/>
    <w:rsid w:val="006C4D81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2018-03-06T10:06:00Z</dcterms:modified>
</cp:coreProperties>
</file>