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Pr="00374F49">
        <w:rPr>
          <w:szCs w:val="24"/>
        </w:rPr>
        <w:t xml:space="preserve">площадью  </w:t>
      </w:r>
      <w:r w:rsidR="002D4B9C">
        <w:rPr>
          <w:szCs w:val="24"/>
        </w:rPr>
        <w:t>62,9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 xml:space="preserve">в </w:t>
      </w:r>
      <w:r w:rsidR="00630C3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1E28DC">
        <w:rPr>
          <w:szCs w:val="24"/>
        </w:rPr>
        <w:t>ул</w:t>
      </w:r>
      <w:r w:rsidR="002D4B9C">
        <w:rPr>
          <w:szCs w:val="24"/>
        </w:rPr>
        <w:t>. Первой Пятилетки, д. 33</w:t>
      </w:r>
      <w:r w:rsidR="002F111C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</w:t>
      </w:r>
      <w:r w:rsidR="002F111C">
        <w:rPr>
          <w:szCs w:val="24"/>
        </w:rPr>
        <w:t xml:space="preserve"> №</w:t>
      </w:r>
      <w:r w:rsidR="00243DE7">
        <w:rPr>
          <w:szCs w:val="24"/>
        </w:rPr>
        <w:t xml:space="preserve"> </w:t>
      </w:r>
      <w:r w:rsidR="002D4B9C">
        <w:rPr>
          <w:szCs w:val="24"/>
        </w:rPr>
        <w:t>6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484688" w:rsidRDefault="00F6174F" w:rsidP="00311FFF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lastRenderedPageBreak/>
        <w:t>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 В данном случае  Комитет имеет право требовать  от   Арендатора  неустойку</w:t>
      </w:r>
      <w:r w:rsidR="00756A99">
        <w:rPr>
          <w:sz w:val="18"/>
          <w:szCs w:val="18"/>
        </w:rPr>
        <w:t xml:space="preserve"> </w:t>
      </w:r>
      <w:r w:rsidR="002F111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2F111C" w:rsidRDefault="002F111C" w:rsidP="00756A99">
      <w:pPr>
        <w:ind w:firstLine="567"/>
        <w:jc w:val="both"/>
        <w:rPr>
          <w:sz w:val="18"/>
          <w:szCs w:val="18"/>
        </w:rPr>
      </w:pPr>
    </w:p>
    <w:p w:rsidR="002F111C" w:rsidRDefault="002F111C" w:rsidP="00756A99">
      <w:pPr>
        <w:ind w:firstLine="567"/>
        <w:jc w:val="both"/>
        <w:rPr>
          <w:sz w:val="18"/>
          <w:szCs w:val="18"/>
        </w:rPr>
      </w:pPr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r w:rsidR="00EB243B">
        <w:rPr>
          <w:szCs w:val="24"/>
        </w:rPr>
        <w:t xml:space="preserve">г. Челябинск, </w:t>
      </w:r>
      <w:r w:rsidR="001E28DC">
        <w:rPr>
          <w:szCs w:val="24"/>
        </w:rPr>
        <w:t xml:space="preserve">ул. </w:t>
      </w:r>
      <w:r w:rsidR="002F111C">
        <w:rPr>
          <w:szCs w:val="24"/>
        </w:rPr>
        <w:t xml:space="preserve">Первой Пятилетки, </w:t>
      </w:r>
      <w:r w:rsidR="002D4B9C">
        <w:rPr>
          <w:szCs w:val="24"/>
        </w:rPr>
        <w:t xml:space="preserve"> д. 33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2D4B9C">
              <w:rPr>
                <w:sz w:val="18"/>
                <w:szCs w:val="18"/>
              </w:rPr>
              <w:t>6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630C3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D4B9C" w:rsidP="005B1393">
            <w:pPr>
              <w:pStyle w:val="a5"/>
              <w:jc w:val="center"/>
            </w:pPr>
            <w:r>
              <w:t>62,9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</w:t>
      </w:r>
      <w:r w:rsidR="002D4B9C">
        <w:t>24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2F111C" w:rsidP="00FF2EA4">
      <w:pPr>
        <w:jc w:val="both"/>
      </w:pPr>
      <w:r w:rsidRPr="002F111C">
        <w:rPr>
          <w:noProof/>
        </w:rPr>
        <w:drawing>
          <wp:inline distT="0" distB="0" distL="0" distR="0">
            <wp:extent cx="5546785" cy="5857336"/>
            <wp:effectExtent l="19050" t="0" r="0" b="0"/>
            <wp:docPr id="4" name="Рисунок 2" descr="сканирование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2.jpg"/>
                    <pic:cNvPicPr/>
                  </pic:nvPicPr>
                  <pic:blipFill rotWithShape="1">
                    <a:blip r:embed="rId8"/>
                    <a:srcRect l="9312" t="15855" b="16436"/>
                    <a:stretch/>
                  </pic:blipFill>
                  <pic:spPr bwMode="auto">
                    <a:xfrm>
                      <a:off x="0" y="0"/>
                      <a:ext cx="5546785" cy="5857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1E28DC">
      <w:pPr>
        <w:jc w:val="right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2D4B9C">
        <w:rPr>
          <w:sz w:val="24"/>
          <w:szCs w:val="24"/>
          <w:u w:val="single"/>
        </w:rPr>
        <w:t>62,9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подвальном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>ул</w:t>
      </w:r>
      <w:r w:rsidR="002D4B9C">
        <w:rPr>
          <w:sz w:val="24"/>
          <w:szCs w:val="24"/>
        </w:rPr>
        <w:t>. Первой Пятилетки, д. 33</w:t>
      </w:r>
      <w:r w:rsidR="002F111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2D4B9C">
        <w:rPr>
          <w:sz w:val="24"/>
          <w:szCs w:val="24"/>
        </w:rPr>
        <w:t>6</w:t>
      </w:r>
      <w:r w:rsidR="00CD5A9D">
        <w:rPr>
          <w:sz w:val="24"/>
          <w:szCs w:val="24"/>
        </w:rPr>
        <w:t>.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D7D" w:rsidRDefault="00CF4D7D" w:rsidP="00186484">
      <w:r>
        <w:separator/>
      </w:r>
    </w:p>
  </w:endnote>
  <w:endnote w:type="continuationSeparator" w:id="1">
    <w:p w:rsidR="00CF4D7D" w:rsidRDefault="00CF4D7D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D7D" w:rsidRDefault="00CF4D7D" w:rsidP="00186484">
      <w:r>
        <w:separator/>
      </w:r>
    </w:p>
  </w:footnote>
  <w:footnote w:type="continuationSeparator" w:id="1">
    <w:p w:rsidR="00CF4D7D" w:rsidRDefault="00CF4D7D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54FB"/>
    <w:rsid w:val="000D6F48"/>
    <w:rsid w:val="000E39A2"/>
    <w:rsid w:val="000E4F47"/>
    <w:rsid w:val="000E7552"/>
    <w:rsid w:val="000E798D"/>
    <w:rsid w:val="000F12BD"/>
    <w:rsid w:val="000F6B8A"/>
    <w:rsid w:val="0010560B"/>
    <w:rsid w:val="001056D5"/>
    <w:rsid w:val="00112F75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D4B9C"/>
    <w:rsid w:val="002E4842"/>
    <w:rsid w:val="002E54B3"/>
    <w:rsid w:val="002F111C"/>
    <w:rsid w:val="00305417"/>
    <w:rsid w:val="00311FFF"/>
    <w:rsid w:val="00322760"/>
    <w:rsid w:val="00323936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03A1C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4869"/>
    <w:rsid w:val="00644DA7"/>
    <w:rsid w:val="006564C9"/>
    <w:rsid w:val="00664984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3780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A5E6E"/>
    <w:rsid w:val="00CC0347"/>
    <w:rsid w:val="00CC1F64"/>
    <w:rsid w:val="00CC3317"/>
    <w:rsid w:val="00CD476F"/>
    <w:rsid w:val="00CD5A9D"/>
    <w:rsid w:val="00CE1EBE"/>
    <w:rsid w:val="00CE4828"/>
    <w:rsid w:val="00CE5686"/>
    <w:rsid w:val="00CF4D7D"/>
    <w:rsid w:val="00CF4FB7"/>
    <w:rsid w:val="00D12A3D"/>
    <w:rsid w:val="00D30DC7"/>
    <w:rsid w:val="00D44426"/>
    <w:rsid w:val="00D5611A"/>
    <w:rsid w:val="00D62180"/>
    <w:rsid w:val="00DA12DC"/>
    <w:rsid w:val="00DA22A8"/>
    <w:rsid w:val="00DB73F3"/>
    <w:rsid w:val="00DC1B32"/>
    <w:rsid w:val="00DC286F"/>
    <w:rsid w:val="00DC5223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9D2"/>
    <w:rsid w:val="00ED73D3"/>
    <w:rsid w:val="00EE33EB"/>
    <w:rsid w:val="00EE51ED"/>
    <w:rsid w:val="00EE5251"/>
    <w:rsid w:val="00EF567C"/>
    <w:rsid w:val="00F17BED"/>
    <w:rsid w:val="00F23AA4"/>
    <w:rsid w:val="00F540CE"/>
    <w:rsid w:val="00F57A12"/>
    <w:rsid w:val="00F6174F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C7D34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2024-03-11T05:38:00Z</cp:lastPrinted>
  <dcterms:created xsi:type="dcterms:W3CDTF">2024-05-29T03:51:00Z</dcterms:created>
  <dcterms:modified xsi:type="dcterms:W3CDTF">2024-06-05T06:01:00Z</dcterms:modified>
</cp:coreProperties>
</file>